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3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6834"/>
        <w:gridCol w:w="1890"/>
      </w:tblGrid>
      <w:tr w:rsidR="008B5CE8" w:rsidTr="00B6386A">
        <w:tc>
          <w:tcPr>
            <w:tcW w:w="1806" w:type="dxa"/>
            <w:vAlign w:val="bottom"/>
          </w:tcPr>
          <w:p w:rsidR="008B5CE8" w:rsidRDefault="008B5CE8" w:rsidP="00B6386A">
            <w:pPr>
              <w:ind w:left="-15"/>
              <w:jc w:val="center"/>
              <w:rPr>
                <w:color w:val="1F497D"/>
              </w:rPr>
            </w:pPr>
            <w:r>
              <w:rPr>
                <w:noProof/>
                <w:color w:val="1F497D"/>
              </w:rPr>
              <w:drawing>
                <wp:inline distT="0" distB="0" distL="0" distR="0" wp14:anchorId="2BA8E621" wp14:editId="09914ED1">
                  <wp:extent cx="975360" cy="986572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te seal_colored.tif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91" t="8490" r="9433" b="8490"/>
                          <a:stretch/>
                        </pic:blipFill>
                        <pic:spPr bwMode="auto">
                          <a:xfrm>
                            <a:off x="0" y="0"/>
                            <a:ext cx="982968" cy="9942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4" w:type="dxa"/>
            <w:vAlign w:val="bottom"/>
          </w:tcPr>
          <w:p w:rsidR="008B5CE8" w:rsidRDefault="008B5CE8" w:rsidP="00B6386A">
            <w:pPr>
              <w:jc w:val="center"/>
              <w:rPr>
                <w:b/>
                <w:sz w:val="28"/>
              </w:rPr>
            </w:pPr>
            <w:r w:rsidRPr="008B5CE8">
              <w:rPr>
                <w:b/>
                <w:sz w:val="28"/>
              </w:rPr>
              <w:t>Effective July 1</w:t>
            </w:r>
            <w:r w:rsidRPr="008B5CE8">
              <w:rPr>
                <w:b/>
                <w:sz w:val="28"/>
                <w:vertAlign w:val="superscript"/>
              </w:rPr>
              <w:t>st</w:t>
            </w:r>
            <w:r>
              <w:rPr>
                <w:b/>
                <w:sz w:val="28"/>
              </w:rPr>
              <w:t>, 2019</w:t>
            </w:r>
          </w:p>
          <w:p w:rsidR="008B5CE8" w:rsidRDefault="008B5CE8" w:rsidP="00B6386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The </w:t>
            </w:r>
            <w:r w:rsidRPr="008B5CE8">
              <w:rPr>
                <w:b/>
                <w:sz w:val="28"/>
              </w:rPr>
              <w:t>State of New Mexico will be switching life carriers to</w:t>
            </w:r>
          </w:p>
          <w:p w:rsidR="008B5CE8" w:rsidRPr="008B5CE8" w:rsidRDefault="008B5CE8" w:rsidP="00B6386A">
            <w:pPr>
              <w:jc w:val="center"/>
              <w:rPr>
                <w:b/>
                <w:sz w:val="28"/>
              </w:rPr>
            </w:pPr>
            <w:r w:rsidRPr="008B5CE8">
              <w:rPr>
                <w:b/>
                <w:sz w:val="28"/>
              </w:rPr>
              <w:t xml:space="preserve">The </w:t>
            </w:r>
            <w:r>
              <w:rPr>
                <w:b/>
                <w:sz w:val="28"/>
              </w:rPr>
              <w:t>Hartford Life Insurance Company</w:t>
            </w:r>
          </w:p>
          <w:p w:rsidR="008B5CE8" w:rsidRDefault="008B5CE8" w:rsidP="00B6386A">
            <w:pPr>
              <w:jc w:val="center"/>
              <w:rPr>
                <w:color w:val="1F497D"/>
              </w:rPr>
            </w:pPr>
          </w:p>
        </w:tc>
        <w:tc>
          <w:tcPr>
            <w:tcW w:w="1890" w:type="dxa"/>
          </w:tcPr>
          <w:p w:rsidR="008B5CE8" w:rsidRDefault="008B5CE8" w:rsidP="001E3939">
            <w:pPr>
              <w:rPr>
                <w:color w:val="1F497D"/>
              </w:rPr>
            </w:pPr>
            <w:r>
              <w:rPr>
                <w:noProof/>
              </w:rPr>
              <w:drawing>
                <wp:inline distT="0" distB="0" distL="0" distR="0" wp14:anchorId="77CF8B8F" wp14:editId="7029DB17">
                  <wp:extent cx="1028700" cy="1005840"/>
                  <wp:effectExtent l="0" t="0" r="0" b="3810"/>
                  <wp:docPr id="121" name="Picture 121" descr="Macintosh HD:Users:davidtow:Documents:JOBS IN PROGRESS:18-0060 BD Letterhead LinesOfBusiness Template:18-0060_BD_Letterhead_Template_Feb20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Picture 121" descr="Macintosh HD:Users:davidtow:Documents:JOBS IN PROGRESS:18-0060 BD Letterhead LinesOfBusiness Template:18-0060_BD_Letterhead_Template_Feb2018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643" b="38989"/>
                          <a:stretch/>
                        </pic:blipFill>
                        <pic:spPr bwMode="auto">
                          <a:xfrm>
                            <a:off x="0" y="0"/>
                            <a:ext cx="102870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lc="http://schemas.openxmlformats.org/drawingml/2006/lockedCanvas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3939" w:rsidRDefault="001E3939" w:rsidP="001E3939">
      <w:pPr>
        <w:rPr>
          <w:color w:val="1F497D"/>
        </w:rPr>
      </w:pPr>
    </w:p>
    <w:p w:rsidR="008B5CE8" w:rsidRDefault="008B5CE8" w:rsidP="001D040A">
      <w:pPr>
        <w:jc w:val="both"/>
      </w:pPr>
    </w:p>
    <w:p w:rsidR="001E3939" w:rsidRPr="008B5CE8" w:rsidRDefault="001E3939" w:rsidP="008B5CE8">
      <w:pPr>
        <w:jc w:val="both"/>
        <w:rPr>
          <w:rFonts w:asciiTheme="minorHAnsi" w:hAnsiTheme="minorHAnsi" w:cstheme="minorHAnsi"/>
        </w:rPr>
      </w:pPr>
      <w:r w:rsidRPr="008B5CE8">
        <w:rPr>
          <w:rFonts w:asciiTheme="minorHAnsi" w:hAnsiTheme="minorHAnsi" w:cstheme="minorHAnsi"/>
        </w:rPr>
        <w:t>As this is short notice of a plan transition,</w:t>
      </w:r>
      <w:r w:rsidR="008B5CE8" w:rsidRPr="008B5CE8">
        <w:rPr>
          <w:rFonts w:asciiTheme="minorHAnsi" w:hAnsiTheme="minorHAnsi" w:cstheme="minorHAnsi"/>
        </w:rPr>
        <w:t xml:space="preserve"> </w:t>
      </w:r>
      <w:r w:rsidR="00B6386A">
        <w:rPr>
          <w:rFonts w:asciiTheme="minorHAnsi" w:hAnsiTheme="minorHAnsi" w:cstheme="minorHAnsi"/>
        </w:rPr>
        <w:t xml:space="preserve">the </w:t>
      </w:r>
      <w:r w:rsidR="008B5CE8" w:rsidRPr="008B5CE8">
        <w:rPr>
          <w:rFonts w:asciiTheme="minorHAnsi" w:hAnsiTheme="minorHAnsi" w:cstheme="minorHAnsi"/>
        </w:rPr>
        <w:t>Risk Management Division and Erisa</w:t>
      </w:r>
      <w:r w:rsidRPr="008B5CE8">
        <w:rPr>
          <w:rFonts w:asciiTheme="minorHAnsi" w:hAnsiTheme="minorHAnsi" w:cstheme="minorHAnsi"/>
        </w:rPr>
        <w:t xml:space="preserve"> would like to make every effort to assist</w:t>
      </w:r>
      <w:r w:rsidR="003F263C" w:rsidRPr="008B5CE8">
        <w:rPr>
          <w:rFonts w:asciiTheme="minorHAnsi" w:hAnsiTheme="minorHAnsi" w:cstheme="minorHAnsi"/>
        </w:rPr>
        <w:t xml:space="preserve"> you to better </w:t>
      </w:r>
      <w:r w:rsidRPr="008B5CE8">
        <w:rPr>
          <w:rFonts w:asciiTheme="minorHAnsi" w:hAnsiTheme="minorHAnsi" w:cstheme="minorHAnsi"/>
        </w:rPr>
        <w:t>understand this transition</w:t>
      </w:r>
      <w:r w:rsidR="003F263C" w:rsidRPr="008B5CE8">
        <w:rPr>
          <w:rFonts w:asciiTheme="minorHAnsi" w:hAnsiTheme="minorHAnsi" w:cstheme="minorHAnsi"/>
        </w:rPr>
        <w:t>,</w:t>
      </w:r>
      <w:r w:rsidRPr="008B5CE8">
        <w:rPr>
          <w:rFonts w:asciiTheme="minorHAnsi" w:hAnsiTheme="minorHAnsi" w:cstheme="minorHAnsi"/>
        </w:rPr>
        <w:t xml:space="preserve"> and what it means to plan participants. The following FAQ is designed to help answer </w:t>
      </w:r>
      <w:r w:rsidR="008B5CE8" w:rsidRPr="008B5CE8">
        <w:rPr>
          <w:rFonts w:asciiTheme="minorHAnsi" w:hAnsiTheme="minorHAnsi" w:cstheme="minorHAnsi"/>
        </w:rPr>
        <w:t>some questions you may have.</w:t>
      </w:r>
    </w:p>
    <w:p w:rsidR="001E3939" w:rsidRPr="008B5CE8" w:rsidRDefault="001E3939" w:rsidP="008B5CE8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</w:rPr>
      </w:pPr>
    </w:p>
    <w:p w:rsidR="001E3939" w:rsidRPr="008B5CE8" w:rsidRDefault="001E3939" w:rsidP="008B5CE8">
      <w:pPr>
        <w:tabs>
          <w:tab w:val="left" w:pos="360"/>
          <w:tab w:val="left" w:pos="630"/>
        </w:tabs>
        <w:ind w:left="360" w:hanging="360"/>
        <w:jc w:val="both"/>
        <w:rPr>
          <w:rFonts w:asciiTheme="minorHAnsi" w:hAnsiTheme="minorHAnsi" w:cstheme="minorHAnsi"/>
        </w:rPr>
      </w:pPr>
      <w:r w:rsidRPr="008B5CE8">
        <w:rPr>
          <w:rFonts w:asciiTheme="minorHAnsi" w:hAnsiTheme="minorHAnsi" w:cstheme="minorHAnsi"/>
          <w:b/>
        </w:rPr>
        <w:t>Q:</w:t>
      </w:r>
      <w:r w:rsidR="00843310" w:rsidRPr="008B5CE8">
        <w:rPr>
          <w:rFonts w:asciiTheme="minorHAnsi" w:hAnsiTheme="minorHAnsi" w:cstheme="minorHAnsi"/>
          <w:b/>
        </w:rPr>
        <w:t xml:space="preserve"> </w:t>
      </w:r>
      <w:r w:rsidR="00843310" w:rsidRPr="008B5CE8">
        <w:rPr>
          <w:rFonts w:asciiTheme="minorHAnsi" w:hAnsiTheme="minorHAnsi" w:cstheme="minorHAnsi"/>
          <w:b/>
        </w:rPr>
        <w:tab/>
      </w:r>
      <w:r w:rsidR="00AB0AB0" w:rsidRPr="008B5CE8">
        <w:rPr>
          <w:rFonts w:asciiTheme="minorHAnsi" w:hAnsiTheme="minorHAnsi" w:cstheme="minorHAnsi"/>
        </w:rPr>
        <w:t xml:space="preserve">Will </w:t>
      </w:r>
      <w:r w:rsidRPr="008B5CE8">
        <w:rPr>
          <w:rFonts w:asciiTheme="minorHAnsi" w:hAnsiTheme="minorHAnsi" w:cstheme="minorHAnsi"/>
        </w:rPr>
        <w:t>my $50,000 Basic Life</w:t>
      </w:r>
      <w:r w:rsidR="008B5CE8">
        <w:rPr>
          <w:rFonts w:asciiTheme="minorHAnsi" w:hAnsiTheme="minorHAnsi" w:cstheme="minorHAnsi"/>
        </w:rPr>
        <w:t xml:space="preserve"> and AD&amp;D</w:t>
      </w:r>
      <w:r w:rsidRPr="008B5CE8">
        <w:rPr>
          <w:rFonts w:asciiTheme="minorHAnsi" w:hAnsiTheme="minorHAnsi" w:cstheme="minorHAnsi"/>
        </w:rPr>
        <w:t xml:space="preserve"> coverage change?</w:t>
      </w:r>
    </w:p>
    <w:p w:rsidR="001E3939" w:rsidRPr="008B5CE8" w:rsidRDefault="001E3939" w:rsidP="008B5CE8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</w:rPr>
      </w:pPr>
      <w:r w:rsidRPr="008B5CE8">
        <w:rPr>
          <w:rFonts w:asciiTheme="minorHAnsi" w:hAnsiTheme="minorHAnsi" w:cstheme="minorHAnsi"/>
          <w:b/>
        </w:rPr>
        <w:t>A:</w:t>
      </w:r>
      <w:r w:rsidR="00F04673" w:rsidRPr="008B5CE8">
        <w:rPr>
          <w:rFonts w:asciiTheme="minorHAnsi" w:hAnsiTheme="minorHAnsi" w:cstheme="minorHAnsi"/>
          <w:b/>
        </w:rPr>
        <w:t xml:space="preserve">  </w:t>
      </w:r>
      <w:r w:rsidR="00F04673" w:rsidRPr="008B5CE8">
        <w:rPr>
          <w:rFonts w:asciiTheme="minorHAnsi" w:hAnsiTheme="minorHAnsi" w:cstheme="minorHAnsi"/>
        </w:rPr>
        <w:tab/>
      </w:r>
      <w:r w:rsidR="008B5CE8">
        <w:rPr>
          <w:rFonts w:asciiTheme="minorHAnsi" w:hAnsiTheme="minorHAnsi" w:cstheme="minorHAnsi"/>
        </w:rPr>
        <w:t>The Basic</w:t>
      </w:r>
      <w:r w:rsidR="00617394">
        <w:rPr>
          <w:rFonts w:asciiTheme="minorHAnsi" w:hAnsiTheme="minorHAnsi" w:cstheme="minorHAnsi"/>
        </w:rPr>
        <w:t xml:space="preserve"> Life and AD&amp;D coverage </w:t>
      </w:r>
      <w:r w:rsidRPr="008B5CE8">
        <w:rPr>
          <w:rFonts w:asciiTheme="minorHAnsi" w:hAnsiTheme="minorHAnsi" w:cstheme="minorHAnsi"/>
        </w:rPr>
        <w:t>remains in place and will continue to be an automatic enrollment for benefit</w:t>
      </w:r>
      <w:r w:rsidR="0021143F" w:rsidRPr="008B5CE8">
        <w:rPr>
          <w:rFonts w:asciiTheme="minorHAnsi" w:hAnsiTheme="minorHAnsi" w:cstheme="minorHAnsi"/>
        </w:rPr>
        <w:t>-</w:t>
      </w:r>
      <w:r w:rsidRPr="008B5CE8">
        <w:rPr>
          <w:rFonts w:asciiTheme="minorHAnsi" w:hAnsiTheme="minorHAnsi" w:cstheme="minorHAnsi"/>
        </w:rPr>
        <w:t xml:space="preserve">eligible employees. The premium </w:t>
      </w:r>
      <w:r w:rsidR="0021143F" w:rsidRPr="008B5CE8">
        <w:rPr>
          <w:rFonts w:asciiTheme="minorHAnsi" w:hAnsiTheme="minorHAnsi" w:cstheme="minorHAnsi"/>
        </w:rPr>
        <w:t xml:space="preserve">will continue to be </w:t>
      </w:r>
      <w:r w:rsidRPr="008B5CE8">
        <w:rPr>
          <w:rFonts w:asciiTheme="minorHAnsi" w:hAnsiTheme="minorHAnsi" w:cstheme="minorHAnsi"/>
        </w:rPr>
        <w:t>paid by the employer</w:t>
      </w:r>
      <w:r w:rsidR="0021143F" w:rsidRPr="008B5CE8">
        <w:rPr>
          <w:rFonts w:asciiTheme="minorHAnsi" w:hAnsiTheme="minorHAnsi" w:cstheme="minorHAnsi"/>
        </w:rPr>
        <w:t xml:space="preserve"> (SoNM</w:t>
      </w:r>
      <w:r w:rsidR="00B6386A">
        <w:rPr>
          <w:rFonts w:asciiTheme="minorHAnsi" w:hAnsiTheme="minorHAnsi" w:cstheme="minorHAnsi"/>
        </w:rPr>
        <w:t>/</w:t>
      </w:r>
      <w:r w:rsidR="00617394">
        <w:rPr>
          <w:rFonts w:asciiTheme="minorHAnsi" w:hAnsiTheme="minorHAnsi" w:cstheme="minorHAnsi"/>
        </w:rPr>
        <w:t>LPB Agencies</w:t>
      </w:r>
      <w:r w:rsidR="0021143F" w:rsidRPr="008B5CE8">
        <w:rPr>
          <w:rFonts w:asciiTheme="minorHAnsi" w:hAnsiTheme="minorHAnsi" w:cstheme="minorHAnsi"/>
        </w:rPr>
        <w:t>)</w:t>
      </w:r>
      <w:r w:rsidRPr="008B5CE8">
        <w:rPr>
          <w:rFonts w:asciiTheme="minorHAnsi" w:hAnsiTheme="minorHAnsi" w:cstheme="minorHAnsi"/>
        </w:rPr>
        <w:t>.</w:t>
      </w:r>
    </w:p>
    <w:p w:rsidR="001E3939" w:rsidRPr="008B5CE8" w:rsidRDefault="001E3939" w:rsidP="008B5CE8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</w:rPr>
      </w:pPr>
    </w:p>
    <w:p w:rsidR="0021143F" w:rsidRPr="008B5CE8" w:rsidRDefault="001E3939" w:rsidP="008B5CE8">
      <w:pPr>
        <w:tabs>
          <w:tab w:val="left" w:pos="360"/>
          <w:tab w:val="left" w:pos="630"/>
          <w:tab w:val="left" w:pos="720"/>
        </w:tabs>
        <w:ind w:left="360" w:hanging="360"/>
        <w:jc w:val="both"/>
        <w:rPr>
          <w:rFonts w:asciiTheme="minorHAnsi" w:hAnsiTheme="minorHAnsi" w:cstheme="minorHAnsi"/>
        </w:rPr>
      </w:pPr>
      <w:r w:rsidRPr="008B5CE8">
        <w:rPr>
          <w:rFonts w:asciiTheme="minorHAnsi" w:hAnsiTheme="minorHAnsi" w:cstheme="minorHAnsi"/>
          <w:b/>
        </w:rPr>
        <w:t>Q:</w:t>
      </w:r>
      <w:r w:rsidRPr="008B5CE8">
        <w:rPr>
          <w:rFonts w:asciiTheme="minorHAnsi" w:hAnsiTheme="minorHAnsi" w:cstheme="minorHAnsi"/>
        </w:rPr>
        <w:t xml:space="preserve"> </w:t>
      </w:r>
      <w:r w:rsidR="00AB0AB0" w:rsidRPr="008B5CE8">
        <w:rPr>
          <w:rFonts w:asciiTheme="minorHAnsi" w:hAnsiTheme="minorHAnsi" w:cstheme="minorHAnsi"/>
        </w:rPr>
        <w:t xml:space="preserve"> </w:t>
      </w:r>
      <w:r w:rsidR="00843310" w:rsidRPr="008B5CE8">
        <w:rPr>
          <w:rFonts w:asciiTheme="minorHAnsi" w:hAnsiTheme="minorHAnsi" w:cstheme="minorHAnsi"/>
        </w:rPr>
        <w:tab/>
      </w:r>
      <w:r w:rsidRPr="008B5CE8">
        <w:rPr>
          <w:rFonts w:asciiTheme="minorHAnsi" w:hAnsiTheme="minorHAnsi" w:cstheme="minorHAnsi"/>
        </w:rPr>
        <w:t>Is this change Mandatory?</w:t>
      </w:r>
    </w:p>
    <w:p w:rsidR="007A2A6B" w:rsidRPr="008B5CE8" w:rsidRDefault="001E3939" w:rsidP="008B5CE8">
      <w:pPr>
        <w:tabs>
          <w:tab w:val="left" w:pos="360"/>
          <w:tab w:val="left" w:pos="630"/>
          <w:tab w:val="left" w:pos="720"/>
        </w:tabs>
        <w:ind w:left="360" w:hanging="360"/>
        <w:jc w:val="both"/>
        <w:rPr>
          <w:rFonts w:asciiTheme="minorHAnsi" w:hAnsiTheme="minorHAnsi" w:cstheme="minorHAnsi"/>
        </w:rPr>
      </w:pPr>
      <w:r w:rsidRPr="008B5CE8">
        <w:rPr>
          <w:rFonts w:asciiTheme="minorHAnsi" w:hAnsiTheme="minorHAnsi" w:cstheme="minorHAnsi"/>
          <w:b/>
        </w:rPr>
        <w:t>A:</w:t>
      </w:r>
      <w:r w:rsidRPr="008B5CE8">
        <w:rPr>
          <w:rFonts w:asciiTheme="minorHAnsi" w:hAnsiTheme="minorHAnsi" w:cstheme="minorHAnsi"/>
        </w:rPr>
        <w:t xml:space="preserve"> </w:t>
      </w:r>
      <w:r w:rsidR="00AB0AB0" w:rsidRPr="008B5CE8">
        <w:rPr>
          <w:rFonts w:asciiTheme="minorHAnsi" w:hAnsiTheme="minorHAnsi" w:cstheme="minorHAnsi"/>
        </w:rPr>
        <w:t xml:space="preserve"> </w:t>
      </w:r>
      <w:r w:rsidR="00843310" w:rsidRPr="008B5CE8">
        <w:rPr>
          <w:rFonts w:asciiTheme="minorHAnsi" w:hAnsiTheme="minorHAnsi" w:cstheme="minorHAnsi"/>
        </w:rPr>
        <w:tab/>
      </w:r>
      <w:r w:rsidR="00617394">
        <w:rPr>
          <w:rFonts w:asciiTheme="minorHAnsi" w:hAnsiTheme="minorHAnsi" w:cstheme="minorHAnsi"/>
          <w:b/>
        </w:rPr>
        <w:t>This change is</w:t>
      </w:r>
      <w:r w:rsidR="005F2844" w:rsidRPr="008B5CE8">
        <w:rPr>
          <w:rFonts w:asciiTheme="minorHAnsi" w:hAnsiTheme="minorHAnsi" w:cstheme="minorHAnsi"/>
          <w:b/>
        </w:rPr>
        <w:t xml:space="preserve"> </w:t>
      </w:r>
      <w:r w:rsidR="00457846" w:rsidRPr="008B5CE8">
        <w:rPr>
          <w:rFonts w:asciiTheme="minorHAnsi" w:hAnsiTheme="minorHAnsi" w:cstheme="minorHAnsi"/>
          <w:b/>
        </w:rPr>
        <w:t>mandatory as it is a change in provider</w:t>
      </w:r>
      <w:r w:rsidR="00617394">
        <w:rPr>
          <w:rFonts w:asciiTheme="minorHAnsi" w:hAnsiTheme="minorHAnsi" w:cstheme="minorHAnsi"/>
          <w:b/>
        </w:rPr>
        <w:t>.</w:t>
      </w:r>
    </w:p>
    <w:p w:rsidR="00457846" w:rsidRPr="008B5CE8" w:rsidRDefault="00457846" w:rsidP="008B5CE8">
      <w:pPr>
        <w:tabs>
          <w:tab w:val="left" w:pos="360"/>
          <w:tab w:val="left" w:pos="630"/>
          <w:tab w:val="left" w:pos="720"/>
        </w:tabs>
        <w:ind w:left="360" w:hanging="360"/>
        <w:jc w:val="both"/>
        <w:rPr>
          <w:rFonts w:asciiTheme="minorHAnsi" w:hAnsiTheme="minorHAnsi" w:cstheme="minorHAnsi"/>
        </w:rPr>
      </w:pPr>
    </w:p>
    <w:p w:rsidR="001E3939" w:rsidRPr="008B5CE8" w:rsidRDefault="00843310" w:rsidP="008B5CE8">
      <w:pPr>
        <w:tabs>
          <w:tab w:val="left" w:pos="360"/>
          <w:tab w:val="left" w:pos="630"/>
          <w:tab w:val="left" w:pos="720"/>
        </w:tabs>
        <w:ind w:left="360" w:hanging="360"/>
        <w:jc w:val="both"/>
        <w:rPr>
          <w:rFonts w:asciiTheme="minorHAnsi" w:hAnsiTheme="minorHAnsi" w:cstheme="minorHAnsi"/>
        </w:rPr>
      </w:pPr>
      <w:r w:rsidRPr="008B5CE8">
        <w:rPr>
          <w:rFonts w:asciiTheme="minorHAnsi" w:hAnsiTheme="minorHAnsi" w:cstheme="minorHAnsi"/>
        </w:rPr>
        <w:tab/>
      </w:r>
      <w:r w:rsidR="007A2A6B" w:rsidRPr="008B5CE8">
        <w:rPr>
          <w:rFonts w:asciiTheme="minorHAnsi" w:hAnsiTheme="minorHAnsi" w:cstheme="minorHAnsi"/>
        </w:rPr>
        <w:t xml:space="preserve">If an employee who is currently enrolled in </w:t>
      </w:r>
      <w:r w:rsidR="0001089F" w:rsidRPr="008B5CE8">
        <w:rPr>
          <w:rFonts w:asciiTheme="minorHAnsi" w:hAnsiTheme="minorHAnsi" w:cstheme="minorHAnsi"/>
        </w:rPr>
        <w:t>supplemental coverage</w:t>
      </w:r>
      <w:r w:rsidR="007A2A6B" w:rsidRPr="008B5CE8">
        <w:rPr>
          <w:rFonts w:asciiTheme="minorHAnsi" w:hAnsiTheme="minorHAnsi" w:cstheme="minorHAnsi"/>
        </w:rPr>
        <w:t xml:space="preserve"> (e.g., Employee Additional</w:t>
      </w:r>
      <w:r w:rsidR="00617394">
        <w:rPr>
          <w:rFonts w:asciiTheme="minorHAnsi" w:hAnsiTheme="minorHAnsi" w:cstheme="minorHAnsi"/>
        </w:rPr>
        <w:t xml:space="preserve"> Life</w:t>
      </w:r>
      <w:r w:rsidR="007A2A6B" w:rsidRPr="008B5CE8">
        <w:rPr>
          <w:rFonts w:asciiTheme="minorHAnsi" w:hAnsiTheme="minorHAnsi" w:cstheme="minorHAnsi"/>
        </w:rPr>
        <w:t>, Dependent Spouse/Domestic Partner (DP)</w:t>
      </w:r>
      <w:r w:rsidR="00617394">
        <w:rPr>
          <w:rFonts w:asciiTheme="minorHAnsi" w:hAnsiTheme="minorHAnsi" w:cstheme="minorHAnsi"/>
        </w:rPr>
        <w:t xml:space="preserve"> Life</w:t>
      </w:r>
      <w:r w:rsidR="0001089F" w:rsidRPr="008B5CE8">
        <w:rPr>
          <w:rFonts w:asciiTheme="minorHAnsi" w:hAnsiTheme="minorHAnsi" w:cstheme="minorHAnsi"/>
        </w:rPr>
        <w:t>,</w:t>
      </w:r>
      <w:r w:rsidR="007A2A6B" w:rsidRPr="008B5CE8">
        <w:rPr>
          <w:rFonts w:asciiTheme="minorHAnsi" w:hAnsiTheme="minorHAnsi" w:cstheme="minorHAnsi"/>
        </w:rPr>
        <w:t xml:space="preserve"> or Child/ren </w:t>
      </w:r>
      <w:r w:rsidR="00617394">
        <w:rPr>
          <w:rFonts w:asciiTheme="minorHAnsi" w:hAnsiTheme="minorHAnsi" w:cstheme="minorHAnsi"/>
        </w:rPr>
        <w:t xml:space="preserve">Life </w:t>
      </w:r>
      <w:r w:rsidR="007A2A6B" w:rsidRPr="008B5CE8">
        <w:rPr>
          <w:rFonts w:asciiTheme="minorHAnsi" w:hAnsiTheme="minorHAnsi" w:cstheme="minorHAnsi"/>
        </w:rPr>
        <w:t>Coverage)</w:t>
      </w:r>
      <w:r w:rsidR="005F2844" w:rsidRPr="008B5CE8">
        <w:rPr>
          <w:rFonts w:asciiTheme="minorHAnsi" w:hAnsiTheme="minorHAnsi" w:cstheme="minorHAnsi"/>
        </w:rPr>
        <w:t>,</w:t>
      </w:r>
      <w:r w:rsidR="007A2A6B" w:rsidRPr="008B5CE8">
        <w:rPr>
          <w:rFonts w:asciiTheme="minorHAnsi" w:hAnsiTheme="minorHAnsi" w:cstheme="minorHAnsi"/>
        </w:rPr>
        <w:t xml:space="preserve"> the employee can remove </w:t>
      </w:r>
      <w:r w:rsidR="005F2844" w:rsidRPr="008B5CE8">
        <w:rPr>
          <w:rFonts w:asciiTheme="minorHAnsi" w:hAnsiTheme="minorHAnsi" w:cstheme="minorHAnsi"/>
        </w:rPr>
        <w:t xml:space="preserve">or add </w:t>
      </w:r>
      <w:r w:rsidR="007A2A6B" w:rsidRPr="008B5CE8">
        <w:rPr>
          <w:rFonts w:asciiTheme="minorHAnsi" w:hAnsiTheme="minorHAnsi" w:cstheme="minorHAnsi"/>
        </w:rPr>
        <w:t xml:space="preserve">coverage at any time. However, </w:t>
      </w:r>
      <w:r w:rsidR="007A2A6B" w:rsidRPr="008B5CE8">
        <w:rPr>
          <w:rFonts w:asciiTheme="minorHAnsi" w:hAnsiTheme="minorHAnsi" w:cstheme="minorHAnsi"/>
          <w:u w:val="single"/>
        </w:rPr>
        <w:t xml:space="preserve">if coverage is requested </w:t>
      </w:r>
      <w:r w:rsidR="005F2844" w:rsidRPr="008B5CE8">
        <w:rPr>
          <w:rFonts w:asciiTheme="minorHAnsi" w:hAnsiTheme="minorHAnsi" w:cstheme="minorHAnsi"/>
          <w:u w:val="single"/>
        </w:rPr>
        <w:t xml:space="preserve">outside of </w:t>
      </w:r>
      <w:r w:rsidR="00617394">
        <w:rPr>
          <w:rFonts w:asciiTheme="minorHAnsi" w:hAnsiTheme="minorHAnsi" w:cstheme="minorHAnsi"/>
          <w:u w:val="single"/>
        </w:rPr>
        <w:t>the Special O</w:t>
      </w:r>
      <w:r w:rsidR="005F2844" w:rsidRPr="008B5CE8">
        <w:rPr>
          <w:rFonts w:asciiTheme="minorHAnsi" w:hAnsiTheme="minorHAnsi" w:cstheme="minorHAnsi"/>
          <w:u w:val="single"/>
        </w:rPr>
        <w:t>pen</w:t>
      </w:r>
      <w:r w:rsidR="00617394">
        <w:rPr>
          <w:rFonts w:asciiTheme="minorHAnsi" w:hAnsiTheme="minorHAnsi" w:cstheme="minorHAnsi"/>
          <w:u w:val="single"/>
        </w:rPr>
        <w:t xml:space="preserve"> E</w:t>
      </w:r>
      <w:r w:rsidR="005F2844" w:rsidRPr="008B5CE8">
        <w:rPr>
          <w:rFonts w:asciiTheme="minorHAnsi" w:hAnsiTheme="minorHAnsi" w:cstheme="minorHAnsi"/>
          <w:u w:val="single"/>
        </w:rPr>
        <w:t xml:space="preserve">nrollment </w:t>
      </w:r>
      <w:r w:rsidR="0001089F" w:rsidRPr="008B5CE8">
        <w:rPr>
          <w:rFonts w:asciiTheme="minorHAnsi" w:hAnsiTheme="minorHAnsi" w:cstheme="minorHAnsi"/>
          <w:u w:val="single"/>
        </w:rPr>
        <w:t>event</w:t>
      </w:r>
      <w:r w:rsidR="00617394">
        <w:rPr>
          <w:rFonts w:asciiTheme="minorHAnsi" w:hAnsiTheme="minorHAnsi" w:cstheme="minorHAnsi"/>
          <w:u w:val="single"/>
        </w:rPr>
        <w:t>, or outside of first time eligibility</w:t>
      </w:r>
      <w:r w:rsidR="0001089F" w:rsidRPr="008B5CE8">
        <w:rPr>
          <w:rFonts w:asciiTheme="minorHAnsi" w:hAnsiTheme="minorHAnsi" w:cstheme="minorHAnsi"/>
          <w:u w:val="single"/>
        </w:rPr>
        <w:t xml:space="preserve">, an </w:t>
      </w:r>
      <w:r w:rsidR="000E56AA">
        <w:rPr>
          <w:rFonts w:asciiTheme="minorHAnsi" w:hAnsiTheme="minorHAnsi" w:cstheme="minorHAnsi"/>
          <w:color w:val="FF0000"/>
          <w:u w:val="single"/>
        </w:rPr>
        <w:t>*</w:t>
      </w:r>
      <w:r w:rsidR="007A2A6B" w:rsidRPr="008B5CE8">
        <w:rPr>
          <w:rFonts w:asciiTheme="minorHAnsi" w:hAnsiTheme="minorHAnsi" w:cstheme="minorHAnsi"/>
          <w:u w:val="single"/>
        </w:rPr>
        <w:t>Evidence of Insurability (EOI) is required</w:t>
      </w:r>
      <w:r w:rsidR="007A2A6B" w:rsidRPr="008B5CE8">
        <w:rPr>
          <w:rFonts w:asciiTheme="minorHAnsi" w:hAnsiTheme="minorHAnsi" w:cstheme="minorHAnsi"/>
        </w:rPr>
        <w:t>.</w:t>
      </w:r>
    </w:p>
    <w:p w:rsidR="001E3939" w:rsidRPr="008B5CE8" w:rsidRDefault="001E3939" w:rsidP="008B5CE8">
      <w:pPr>
        <w:tabs>
          <w:tab w:val="left" w:pos="360"/>
          <w:tab w:val="left" w:pos="720"/>
        </w:tabs>
        <w:ind w:left="360" w:hanging="360"/>
        <w:jc w:val="both"/>
        <w:rPr>
          <w:rFonts w:asciiTheme="minorHAnsi" w:hAnsiTheme="minorHAnsi" w:cstheme="minorHAnsi"/>
        </w:rPr>
      </w:pPr>
    </w:p>
    <w:p w:rsidR="001E3939" w:rsidRPr="008B5CE8" w:rsidRDefault="001E3939" w:rsidP="008B5CE8">
      <w:pPr>
        <w:tabs>
          <w:tab w:val="left" w:pos="360"/>
          <w:tab w:val="left" w:pos="630"/>
        </w:tabs>
        <w:ind w:left="360" w:hanging="360"/>
        <w:jc w:val="both"/>
        <w:rPr>
          <w:rFonts w:asciiTheme="minorHAnsi" w:hAnsiTheme="minorHAnsi" w:cstheme="minorHAnsi"/>
        </w:rPr>
      </w:pPr>
      <w:r w:rsidRPr="008B5CE8">
        <w:rPr>
          <w:rFonts w:asciiTheme="minorHAnsi" w:hAnsiTheme="minorHAnsi" w:cstheme="minorHAnsi"/>
          <w:b/>
        </w:rPr>
        <w:t>Q:</w:t>
      </w:r>
      <w:r w:rsidRPr="008B5CE8">
        <w:rPr>
          <w:rFonts w:asciiTheme="minorHAnsi" w:hAnsiTheme="minorHAnsi" w:cstheme="minorHAnsi"/>
        </w:rPr>
        <w:t xml:space="preserve"> </w:t>
      </w:r>
      <w:r w:rsidR="0001089F" w:rsidRPr="008B5CE8">
        <w:rPr>
          <w:rFonts w:asciiTheme="minorHAnsi" w:hAnsiTheme="minorHAnsi" w:cstheme="minorHAnsi"/>
        </w:rPr>
        <w:t xml:space="preserve"> </w:t>
      </w:r>
      <w:r w:rsidR="00843310" w:rsidRPr="008B5CE8">
        <w:rPr>
          <w:rFonts w:asciiTheme="minorHAnsi" w:hAnsiTheme="minorHAnsi" w:cstheme="minorHAnsi"/>
        </w:rPr>
        <w:tab/>
      </w:r>
      <w:r w:rsidRPr="008B5CE8">
        <w:rPr>
          <w:rFonts w:asciiTheme="minorHAnsi" w:hAnsiTheme="minorHAnsi" w:cstheme="minorHAnsi"/>
        </w:rPr>
        <w:t>How do we handle setting up the auto-deduct</w:t>
      </w:r>
      <w:r w:rsidR="006211B7">
        <w:rPr>
          <w:rFonts w:asciiTheme="minorHAnsi" w:hAnsiTheme="minorHAnsi" w:cstheme="minorHAnsi"/>
        </w:rPr>
        <w:t>ion</w:t>
      </w:r>
      <w:r w:rsidRPr="008B5CE8">
        <w:rPr>
          <w:rFonts w:asciiTheme="minorHAnsi" w:hAnsiTheme="minorHAnsi" w:cstheme="minorHAnsi"/>
        </w:rPr>
        <w:t>s</w:t>
      </w:r>
      <w:r w:rsidR="006211B7">
        <w:rPr>
          <w:rFonts w:asciiTheme="minorHAnsi" w:hAnsiTheme="minorHAnsi" w:cstheme="minorHAnsi"/>
        </w:rPr>
        <w:t xml:space="preserve"> for Supplemental coverage</w:t>
      </w:r>
      <w:r w:rsidRPr="008B5CE8">
        <w:rPr>
          <w:rFonts w:asciiTheme="minorHAnsi" w:hAnsiTheme="minorHAnsi" w:cstheme="minorHAnsi"/>
        </w:rPr>
        <w:t>?</w:t>
      </w:r>
    </w:p>
    <w:p w:rsidR="006211B7" w:rsidRDefault="001E3939" w:rsidP="006211B7">
      <w:pPr>
        <w:tabs>
          <w:tab w:val="left" w:pos="360"/>
          <w:tab w:val="left" w:pos="720"/>
        </w:tabs>
        <w:ind w:left="360" w:hanging="360"/>
        <w:jc w:val="both"/>
        <w:rPr>
          <w:rFonts w:asciiTheme="minorHAnsi" w:hAnsiTheme="minorHAnsi" w:cstheme="minorHAnsi"/>
        </w:rPr>
      </w:pPr>
      <w:r w:rsidRPr="008B5CE8">
        <w:rPr>
          <w:rFonts w:asciiTheme="minorHAnsi" w:hAnsiTheme="minorHAnsi" w:cstheme="minorHAnsi"/>
          <w:b/>
        </w:rPr>
        <w:t>A:</w:t>
      </w:r>
      <w:r w:rsidRPr="008B5CE8">
        <w:rPr>
          <w:rFonts w:asciiTheme="minorHAnsi" w:hAnsiTheme="minorHAnsi" w:cstheme="minorHAnsi"/>
        </w:rPr>
        <w:t xml:space="preserve"> </w:t>
      </w:r>
      <w:r w:rsidR="0001089F" w:rsidRPr="008B5CE8">
        <w:rPr>
          <w:rFonts w:asciiTheme="minorHAnsi" w:hAnsiTheme="minorHAnsi" w:cstheme="minorHAnsi"/>
        </w:rPr>
        <w:t xml:space="preserve"> </w:t>
      </w:r>
      <w:r w:rsidR="00843310" w:rsidRPr="008B5CE8">
        <w:rPr>
          <w:rFonts w:asciiTheme="minorHAnsi" w:hAnsiTheme="minorHAnsi" w:cstheme="minorHAnsi"/>
        </w:rPr>
        <w:tab/>
      </w:r>
      <w:r w:rsidR="006211B7">
        <w:rPr>
          <w:rFonts w:asciiTheme="minorHAnsi" w:hAnsiTheme="minorHAnsi" w:cstheme="minorHAnsi"/>
        </w:rPr>
        <w:t>Employees who had coverage in place on June 30, 2019 with Securian/Minnesota will be transferred over to The Hartford. The coverage amounts will be entered into SHARE and will start to auto-deduct through payroll. The first deduction will be reflected on the pay advice of July 19</w:t>
      </w:r>
      <w:r w:rsidR="006211B7" w:rsidRPr="00617394">
        <w:rPr>
          <w:rFonts w:asciiTheme="minorHAnsi" w:hAnsiTheme="minorHAnsi" w:cstheme="minorHAnsi"/>
          <w:vertAlign w:val="superscript"/>
        </w:rPr>
        <w:t>th</w:t>
      </w:r>
      <w:r w:rsidR="006211B7">
        <w:rPr>
          <w:rFonts w:asciiTheme="minorHAnsi" w:hAnsiTheme="minorHAnsi" w:cstheme="minorHAnsi"/>
        </w:rPr>
        <w:t>. No action is required by employee.</w:t>
      </w:r>
    </w:p>
    <w:p w:rsidR="00DC01FC" w:rsidRPr="008B5CE8" w:rsidRDefault="00DC01FC" w:rsidP="008B5CE8">
      <w:pPr>
        <w:tabs>
          <w:tab w:val="left" w:pos="360"/>
          <w:tab w:val="left" w:pos="720"/>
        </w:tabs>
        <w:ind w:left="360" w:hanging="360"/>
        <w:jc w:val="both"/>
        <w:rPr>
          <w:rFonts w:asciiTheme="minorHAnsi" w:hAnsiTheme="minorHAnsi" w:cstheme="minorHAnsi"/>
        </w:rPr>
      </w:pPr>
    </w:p>
    <w:p w:rsidR="001E3939" w:rsidRPr="00B32AE7" w:rsidRDefault="001E3939" w:rsidP="008B5CE8">
      <w:pPr>
        <w:tabs>
          <w:tab w:val="left" w:pos="360"/>
          <w:tab w:val="left" w:pos="630"/>
        </w:tabs>
        <w:ind w:left="360" w:hanging="360"/>
        <w:jc w:val="both"/>
        <w:rPr>
          <w:rFonts w:asciiTheme="minorHAnsi" w:hAnsiTheme="minorHAnsi" w:cstheme="minorHAnsi"/>
        </w:rPr>
      </w:pPr>
      <w:r w:rsidRPr="00B32AE7">
        <w:rPr>
          <w:rFonts w:asciiTheme="minorHAnsi" w:hAnsiTheme="minorHAnsi" w:cstheme="minorHAnsi"/>
          <w:b/>
        </w:rPr>
        <w:t>Q:</w:t>
      </w:r>
      <w:r w:rsidRPr="00B32AE7">
        <w:rPr>
          <w:rFonts w:asciiTheme="minorHAnsi" w:hAnsiTheme="minorHAnsi" w:cstheme="minorHAnsi"/>
        </w:rPr>
        <w:t xml:space="preserve"> </w:t>
      </w:r>
      <w:r w:rsidR="00467E72" w:rsidRPr="00B32AE7">
        <w:rPr>
          <w:rFonts w:asciiTheme="minorHAnsi" w:hAnsiTheme="minorHAnsi" w:cstheme="minorHAnsi"/>
        </w:rPr>
        <w:t xml:space="preserve"> </w:t>
      </w:r>
      <w:r w:rsidR="00843310" w:rsidRPr="00B32AE7">
        <w:rPr>
          <w:rFonts w:asciiTheme="minorHAnsi" w:hAnsiTheme="minorHAnsi" w:cstheme="minorHAnsi"/>
        </w:rPr>
        <w:tab/>
      </w:r>
      <w:r w:rsidRPr="00B32AE7">
        <w:rPr>
          <w:rFonts w:asciiTheme="minorHAnsi" w:hAnsiTheme="minorHAnsi" w:cstheme="minorHAnsi"/>
        </w:rPr>
        <w:t>Can an employee continue with Securian for coverage?</w:t>
      </w:r>
    </w:p>
    <w:p w:rsidR="00467E72" w:rsidRPr="008B5CE8" w:rsidRDefault="001E3939" w:rsidP="008B5CE8">
      <w:pPr>
        <w:tabs>
          <w:tab w:val="left" w:pos="360"/>
          <w:tab w:val="left" w:pos="630"/>
        </w:tabs>
        <w:ind w:left="360" w:hanging="360"/>
        <w:jc w:val="both"/>
        <w:rPr>
          <w:rFonts w:asciiTheme="minorHAnsi" w:hAnsiTheme="minorHAnsi" w:cstheme="minorHAnsi"/>
          <w:strike/>
        </w:rPr>
      </w:pPr>
      <w:r w:rsidRPr="00B32AE7">
        <w:rPr>
          <w:rFonts w:asciiTheme="minorHAnsi" w:hAnsiTheme="minorHAnsi" w:cstheme="minorHAnsi"/>
          <w:b/>
        </w:rPr>
        <w:t>A:</w:t>
      </w:r>
      <w:r w:rsidRPr="00B32AE7">
        <w:rPr>
          <w:rFonts w:asciiTheme="minorHAnsi" w:hAnsiTheme="minorHAnsi" w:cstheme="minorHAnsi"/>
        </w:rPr>
        <w:t xml:space="preserve"> </w:t>
      </w:r>
      <w:r w:rsidR="00467E72" w:rsidRPr="00B32AE7">
        <w:rPr>
          <w:rFonts w:asciiTheme="minorHAnsi" w:hAnsiTheme="minorHAnsi" w:cstheme="minorHAnsi"/>
        </w:rPr>
        <w:t xml:space="preserve"> </w:t>
      </w:r>
      <w:r w:rsidR="00843310" w:rsidRPr="00B32AE7">
        <w:rPr>
          <w:rFonts w:asciiTheme="minorHAnsi" w:hAnsiTheme="minorHAnsi" w:cstheme="minorHAnsi"/>
        </w:rPr>
        <w:tab/>
      </w:r>
      <w:r w:rsidR="00B32AE7" w:rsidRPr="00B32AE7">
        <w:rPr>
          <w:rFonts w:asciiTheme="minorHAnsi" w:hAnsiTheme="minorHAnsi" w:cstheme="minorHAnsi"/>
        </w:rPr>
        <w:t>All coverage that was in place with Securian/Minnesota wa</w:t>
      </w:r>
      <w:r w:rsidR="00B32AE7">
        <w:rPr>
          <w:rFonts w:asciiTheme="minorHAnsi" w:hAnsiTheme="minorHAnsi" w:cstheme="minorHAnsi"/>
        </w:rPr>
        <w:t>s transferred to The Hartford.</w:t>
      </w:r>
      <w:r w:rsidR="006211B7">
        <w:rPr>
          <w:rFonts w:asciiTheme="minorHAnsi" w:hAnsiTheme="minorHAnsi" w:cstheme="minorHAnsi"/>
        </w:rPr>
        <w:t xml:space="preserve"> Securian is unable to offer continued coverage at this time.</w:t>
      </w:r>
    </w:p>
    <w:p w:rsidR="001E3939" w:rsidRPr="008B5CE8" w:rsidRDefault="001E3939" w:rsidP="008B5CE8">
      <w:pPr>
        <w:tabs>
          <w:tab w:val="left" w:pos="360"/>
          <w:tab w:val="left" w:pos="720"/>
        </w:tabs>
        <w:ind w:left="360" w:hanging="360"/>
        <w:jc w:val="both"/>
        <w:rPr>
          <w:rFonts w:asciiTheme="minorHAnsi" w:hAnsiTheme="minorHAnsi" w:cstheme="minorHAnsi"/>
        </w:rPr>
      </w:pPr>
    </w:p>
    <w:p w:rsidR="001E3939" w:rsidRPr="008B5CE8" w:rsidRDefault="001E3939" w:rsidP="008B5CE8">
      <w:pPr>
        <w:tabs>
          <w:tab w:val="left" w:pos="360"/>
          <w:tab w:val="left" w:pos="630"/>
        </w:tabs>
        <w:ind w:left="360" w:hanging="360"/>
        <w:jc w:val="both"/>
        <w:rPr>
          <w:rFonts w:asciiTheme="minorHAnsi" w:hAnsiTheme="minorHAnsi" w:cstheme="minorHAnsi"/>
        </w:rPr>
      </w:pPr>
      <w:r w:rsidRPr="008B5CE8">
        <w:rPr>
          <w:rFonts w:asciiTheme="minorHAnsi" w:hAnsiTheme="minorHAnsi" w:cstheme="minorHAnsi"/>
          <w:b/>
        </w:rPr>
        <w:t>Q:</w:t>
      </w:r>
      <w:r w:rsidRPr="008B5CE8">
        <w:rPr>
          <w:rFonts w:asciiTheme="minorHAnsi" w:hAnsiTheme="minorHAnsi" w:cstheme="minorHAnsi"/>
        </w:rPr>
        <w:t xml:space="preserve"> </w:t>
      </w:r>
      <w:r w:rsidR="001D040A" w:rsidRPr="008B5CE8">
        <w:rPr>
          <w:rFonts w:asciiTheme="minorHAnsi" w:hAnsiTheme="minorHAnsi" w:cstheme="minorHAnsi"/>
        </w:rPr>
        <w:t xml:space="preserve"> </w:t>
      </w:r>
      <w:r w:rsidR="00843310" w:rsidRPr="008B5CE8">
        <w:rPr>
          <w:rFonts w:asciiTheme="minorHAnsi" w:hAnsiTheme="minorHAnsi" w:cstheme="minorHAnsi"/>
        </w:rPr>
        <w:tab/>
      </w:r>
      <w:r w:rsidRPr="008B5CE8">
        <w:rPr>
          <w:rFonts w:asciiTheme="minorHAnsi" w:hAnsiTheme="minorHAnsi" w:cstheme="minorHAnsi"/>
        </w:rPr>
        <w:t>Can an LPB opt out of offering Life Coverage?</w:t>
      </w:r>
    </w:p>
    <w:p w:rsidR="00AC78EA" w:rsidRPr="008B5CE8" w:rsidRDefault="001E3939" w:rsidP="001B0506">
      <w:pPr>
        <w:tabs>
          <w:tab w:val="left" w:pos="360"/>
          <w:tab w:val="left" w:pos="630"/>
        </w:tabs>
        <w:ind w:left="360" w:hanging="360"/>
        <w:jc w:val="both"/>
        <w:rPr>
          <w:rFonts w:asciiTheme="minorHAnsi" w:hAnsiTheme="minorHAnsi" w:cstheme="minorHAnsi"/>
          <w:b/>
        </w:rPr>
      </w:pPr>
      <w:r w:rsidRPr="008B5CE8">
        <w:rPr>
          <w:rFonts w:asciiTheme="minorHAnsi" w:hAnsiTheme="minorHAnsi" w:cstheme="minorHAnsi"/>
          <w:b/>
        </w:rPr>
        <w:t>A:</w:t>
      </w:r>
      <w:r w:rsidRPr="008B5CE8">
        <w:rPr>
          <w:rFonts w:asciiTheme="minorHAnsi" w:hAnsiTheme="minorHAnsi" w:cstheme="minorHAnsi"/>
        </w:rPr>
        <w:t xml:space="preserve"> </w:t>
      </w:r>
      <w:r w:rsidR="001D040A" w:rsidRPr="008B5CE8">
        <w:rPr>
          <w:rFonts w:asciiTheme="minorHAnsi" w:hAnsiTheme="minorHAnsi" w:cstheme="minorHAnsi"/>
        </w:rPr>
        <w:t xml:space="preserve"> </w:t>
      </w:r>
      <w:r w:rsidR="00843310" w:rsidRPr="00617394">
        <w:rPr>
          <w:rFonts w:asciiTheme="minorHAnsi" w:hAnsiTheme="minorHAnsi" w:cstheme="minorHAnsi"/>
        </w:rPr>
        <w:tab/>
      </w:r>
      <w:r w:rsidR="00AC78EA" w:rsidRPr="00617394">
        <w:rPr>
          <w:rFonts w:asciiTheme="minorHAnsi" w:hAnsiTheme="minorHAnsi" w:cstheme="minorHAnsi"/>
        </w:rPr>
        <w:t>If an LPB is participating in the SoNM Group Benefits Plan, then t</w:t>
      </w:r>
      <w:r w:rsidR="00DC01FC">
        <w:rPr>
          <w:rFonts w:asciiTheme="minorHAnsi" w:hAnsiTheme="minorHAnsi" w:cstheme="minorHAnsi"/>
        </w:rPr>
        <w:t>hey must offer this basic life o</w:t>
      </w:r>
      <w:r w:rsidR="00AC78EA" w:rsidRPr="00617394">
        <w:rPr>
          <w:rFonts w:asciiTheme="minorHAnsi" w:hAnsiTheme="minorHAnsi" w:cstheme="minorHAnsi"/>
        </w:rPr>
        <w:t>ption through the new SoNM Life Insurance carrier. Any further questions regarding this issue should be addressed to the Risk Management Division</w:t>
      </w:r>
      <w:r w:rsidR="006211B7">
        <w:rPr>
          <w:rFonts w:asciiTheme="minorHAnsi" w:hAnsiTheme="minorHAnsi" w:cstheme="minorHAnsi"/>
        </w:rPr>
        <w:t xml:space="preserve"> – Employee Benefits Bureau Chief by calling 505.827.2036</w:t>
      </w:r>
      <w:r w:rsidR="00AC78EA" w:rsidRPr="00617394">
        <w:rPr>
          <w:rFonts w:asciiTheme="minorHAnsi" w:hAnsiTheme="minorHAnsi" w:cstheme="minorHAnsi"/>
        </w:rPr>
        <w:t>.</w:t>
      </w:r>
    </w:p>
    <w:p w:rsidR="001E3939" w:rsidRPr="008B5CE8" w:rsidRDefault="001E3939" w:rsidP="008B5CE8">
      <w:pPr>
        <w:tabs>
          <w:tab w:val="left" w:pos="360"/>
          <w:tab w:val="left" w:pos="720"/>
        </w:tabs>
        <w:ind w:left="360" w:hanging="360"/>
        <w:jc w:val="both"/>
        <w:rPr>
          <w:rFonts w:asciiTheme="minorHAnsi" w:hAnsiTheme="minorHAnsi" w:cstheme="minorHAnsi"/>
        </w:rPr>
      </w:pPr>
    </w:p>
    <w:p w:rsidR="001E3939" w:rsidRPr="008B5CE8" w:rsidRDefault="001E3939" w:rsidP="008B5CE8">
      <w:pPr>
        <w:tabs>
          <w:tab w:val="left" w:pos="360"/>
          <w:tab w:val="left" w:pos="630"/>
        </w:tabs>
        <w:ind w:left="360" w:hanging="360"/>
        <w:jc w:val="both"/>
        <w:rPr>
          <w:rFonts w:asciiTheme="minorHAnsi" w:hAnsiTheme="minorHAnsi" w:cstheme="minorHAnsi"/>
        </w:rPr>
      </w:pPr>
      <w:r w:rsidRPr="008B5CE8">
        <w:rPr>
          <w:rFonts w:asciiTheme="minorHAnsi" w:hAnsiTheme="minorHAnsi" w:cstheme="minorHAnsi"/>
          <w:b/>
        </w:rPr>
        <w:t>Q:</w:t>
      </w:r>
      <w:r w:rsidRPr="008B5CE8">
        <w:rPr>
          <w:rFonts w:asciiTheme="minorHAnsi" w:hAnsiTheme="minorHAnsi" w:cstheme="minorHAnsi"/>
        </w:rPr>
        <w:t xml:space="preserve"> </w:t>
      </w:r>
      <w:r w:rsidR="00843310" w:rsidRPr="008B5CE8">
        <w:rPr>
          <w:rFonts w:asciiTheme="minorHAnsi" w:hAnsiTheme="minorHAnsi" w:cstheme="minorHAnsi"/>
        </w:rPr>
        <w:tab/>
      </w:r>
      <w:r w:rsidRPr="008B5CE8">
        <w:rPr>
          <w:rFonts w:asciiTheme="minorHAnsi" w:hAnsiTheme="minorHAnsi" w:cstheme="minorHAnsi"/>
        </w:rPr>
        <w:t>Will Hartford offer a self-pay option</w:t>
      </w:r>
      <w:r w:rsidR="004D126A" w:rsidRPr="008B5CE8">
        <w:rPr>
          <w:rFonts w:asciiTheme="minorHAnsi" w:hAnsiTheme="minorHAnsi" w:cstheme="minorHAnsi"/>
        </w:rPr>
        <w:t xml:space="preserve"> for premiums</w:t>
      </w:r>
      <w:r w:rsidRPr="008B5CE8">
        <w:rPr>
          <w:rFonts w:asciiTheme="minorHAnsi" w:hAnsiTheme="minorHAnsi" w:cstheme="minorHAnsi"/>
        </w:rPr>
        <w:t>?</w:t>
      </w:r>
    </w:p>
    <w:p w:rsidR="001E3939" w:rsidRPr="008B5CE8" w:rsidRDefault="001E3939" w:rsidP="00617394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  <w:strike/>
        </w:rPr>
      </w:pPr>
      <w:r w:rsidRPr="008B5CE8">
        <w:rPr>
          <w:rFonts w:asciiTheme="minorHAnsi" w:hAnsiTheme="minorHAnsi" w:cstheme="minorHAnsi"/>
          <w:b/>
        </w:rPr>
        <w:lastRenderedPageBreak/>
        <w:t>A:</w:t>
      </w:r>
      <w:r w:rsidR="00617394">
        <w:rPr>
          <w:rFonts w:asciiTheme="minorHAnsi" w:hAnsiTheme="minorHAnsi" w:cstheme="minorHAnsi"/>
          <w:b/>
        </w:rPr>
        <w:tab/>
      </w:r>
      <w:r w:rsidR="00627E4F">
        <w:rPr>
          <w:rFonts w:asciiTheme="minorHAnsi" w:hAnsiTheme="minorHAnsi" w:cstheme="minorHAnsi"/>
        </w:rPr>
        <w:t>No,</w:t>
      </w:r>
      <w:r w:rsidR="00627E4F" w:rsidRPr="008B5CE8">
        <w:rPr>
          <w:rFonts w:asciiTheme="minorHAnsi" w:hAnsiTheme="minorHAnsi" w:cstheme="minorHAnsi"/>
        </w:rPr>
        <w:t xml:space="preserve"> </w:t>
      </w:r>
      <w:r w:rsidR="00627E4F">
        <w:rPr>
          <w:rFonts w:asciiTheme="minorHAnsi" w:hAnsiTheme="minorHAnsi" w:cstheme="minorHAnsi"/>
        </w:rPr>
        <w:t>all premiums for supplemental coverage</w:t>
      </w:r>
      <w:r w:rsidR="00627E4F" w:rsidRPr="008B5CE8">
        <w:rPr>
          <w:rFonts w:asciiTheme="minorHAnsi" w:hAnsiTheme="minorHAnsi" w:cstheme="minorHAnsi"/>
        </w:rPr>
        <w:t xml:space="preserve"> can only be paid through </w:t>
      </w:r>
      <w:r w:rsidR="00627E4F" w:rsidRPr="00617394">
        <w:rPr>
          <w:rFonts w:asciiTheme="minorHAnsi" w:hAnsiTheme="minorHAnsi" w:cstheme="minorHAnsi"/>
        </w:rPr>
        <w:t>payroll</w:t>
      </w:r>
      <w:r w:rsidR="00627E4F">
        <w:rPr>
          <w:rFonts w:asciiTheme="minorHAnsi" w:hAnsiTheme="minorHAnsi" w:cstheme="minorHAnsi"/>
          <w:strike/>
        </w:rPr>
        <w:t xml:space="preserve"> </w:t>
      </w:r>
      <w:r w:rsidR="00627E4F" w:rsidRPr="008B5CE8">
        <w:rPr>
          <w:rFonts w:asciiTheme="minorHAnsi" w:hAnsiTheme="minorHAnsi" w:cstheme="minorHAnsi"/>
        </w:rPr>
        <w:t>-deduction.</w:t>
      </w:r>
    </w:p>
    <w:p w:rsidR="001E3939" w:rsidRPr="008B5CE8" w:rsidRDefault="001E3939" w:rsidP="00843310">
      <w:pPr>
        <w:tabs>
          <w:tab w:val="left" w:pos="720"/>
        </w:tabs>
        <w:ind w:firstLine="270"/>
        <w:jc w:val="both"/>
        <w:rPr>
          <w:rFonts w:asciiTheme="minorHAnsi" w:hAnsiTheme="minorHAnsi" w:cstheme="minorHAnsi"/>
        </w:rPr>
      </w:pPr>
    </w:p>
    <w:p w:rsidR="001E3939" w:rsidRPr="008B5CE8" w:rsidRDefault="001E3939" w:rsidP="00617394">
      <w:pPr>
        <w:tabs>
          <w:tab w:val="left" w:pos="360"/>
          <w:tab w:val="left" w:pos="720"/>
        </w:tabs>
        <w:ind w:left="360" w:hanging="360"/>
        <w:jc w:val="both"/>
        <w:rPr>
          <w:rFonts w:asciiTheme="minorHAnsi" w:hAnsiTheme="minorHAnsi" w:cstheme="minorHAnsi"/>
        </w:rPr>
      </w:pPr>
      <w:r w:rsidRPr="008B5CE8">
        <w:rPr>
          <w:rFonts w:asciiTheme="minorHAnsi" w:hAnsiTheme="minorHAnsi" w:cstheme="minorHAnsi"/>
          <w:b/>
        </w:rPr>
        <w:t>Q:</w:t>
      </w:r>
      <w:r w:rsidR="00617394">
        <w:rPr>
          <w:rFonts w:asciiTheme="minorHAnsi" w:hAnsiTheme="minorHAnsi" w:cstheme="minorHAnsi"/>
        </w:rPr>
        <w:tab/>
      </w:r>
      <w:r w:rsidRPr="008B5CE8">
        <w:rPr>
          <w:rFonts w:asciiTheme="minorHAnsi" w:hAnsiTheme="minorHAnsi" w:cstheme="minorHAnsi"/>
        </w:rPr>
        <w:t xml:space="preserve">What is </w:t>
      </w:r>
      <w:r w:rsidR="00132D92" w:rsidRPr="008B5CE8">
        <w:rPr>
          <w:rFonts w:asciiTheme="minorHAnsi" w:hAnsiTheme="minorHAnsi" w:cstheme="minorHAnsi"/>
        </w:rPr>
        <w:t>the time table for</w:t>
      </w:r>
      <w:r w:rsidRPr="008B5CE8">
        <w:rPr>
          <w:rFonts w:asciiTheme="minorHAnsi" w:hAnsiTheme="minorHAnsi" w:cstheme="minorHAnsi"/>
        </w:rPr>
        <w:t xml:space="preserve"> implement</w:t>
      </w:r>
      <w:r w:rsidR="00132D92" w:rsidRPr="008B5CE8">
        <w:rPr>
          <w:rFonts w:asciiTheme="minorHAnsi" w:hAnsiTheme="minorHAnsi" w:cstheme="minorHAnsi"/>
        </w:rPr>
        <w:t>ing</w:t>
      </w:r>
      <w:r w:rsidRPr="008B5CE8">
        <w:rPr>
          <w:rFonts w:asciiTheme="minorHAnsi" w:hAnsiTheme="minorHAnsi" w:cstheme="minorHAnsi"/>
        </w:rPr>
        <w:t xml:space="preserve"> the auto-deduct</w:t>
      </w:r>
      <w:r w:rsidR="004B68E1">
        <w:rPr>
          <w:rFonts w:asciiTheme="minorHAnsi" w:hAnsiTheme="minorHAnsi" w:cstheme="minorHAnsi"/>
        </w:rPr>
        <w:t>ion</w:t>
      </w:r>
      <w:r w:rsidRPr="008B5CE8">
        <w:rPr>
          <w:rFonts w:asciiTheme="minorHAnsi" w:hAnsiTheme="minorHAnsi" w:cstheme="minorHAnsi"/>
        </w:rPr>
        <w:t>?</w:t>
      </w:r>
    </w:p>
    <w:p w:rsidR="00627E4F" w:rsidRPr="00627E4F" w:rsidRDefault="001E3939" w:rsidP="00627E4F">
      <w:pPr>
        <w:tabs>
          <w:tab w:val="left" w:pos="360"/>
          <w:tab w:val="left" w:pos="630"/>
          <w:tab w:val="left" w:pos="720"/>
        </w:tabs>
        <w:ind w:left="360" w:hanging="360"/>
        <w:jc w:val="both"/>
        <w:rPr>
          <w:rFonts w:asciiTheme="minorHAnsi" w:hAnsiTheme="minorHAnsi" w:cstheme="minorHAnsi"/>
        </w:rPr>
      </w:pPr>
      <w:r w:rsidRPr="008B5CE8">
        <w:rPr>
          <w:rFonts w:asciiTheme="minorHAnsi" w:hAnsiTheme="minorHAnsi" w:cstheme="minorHAnsi"/>
          <w:b/>
        </w:rPr>
        <w:t>A:</w:t>
      </w:r>
      <w:r w:rsidR="00617394">
        <w:rPr>
          <w:rFonts w:asciiTheme="minorHAnsi" w:hAnsiTheme="minorHAnsi" w:cstheme="minorHAnsi"/>
        </w:rPr>
        <w:tab/>
      </w:r>
      <w:r w:rsidR="00CC1F5B" w:rsidRPr="008B5CE8">
        <w:rPr>
          <w:rFonts w:asciiTheme="minorHAnsi" w:hAnsiTheme="minorHAnsi" w:cstheme="minorHAnsi"/>
        </w:rPr>
        <w:t xml:space="preserve">For those with existing coverage, </w:t>
      </w:r>
      <w:r w:rsidR="00132D92" w:rsidRPr="008B5CE8">
        <w:rPr>
          <w:rFonts w:asciiTheme="minorHAnsi" w:hAnsiTheme="minorHAnsi" w:cstheme="minorHAnsi"/>
        </w:rPr>
        <w:t>July</w:t>
      </w:r>
      <w:r w:rsidRPr="008B5CE8">
        <w:rPr>
          <w:rFonts w:asciiTheme="minorHAnsi" w:hAnsiTheme="minorHAnsi" w:cstheme="minorHAnsi"/>
        </w:rPr>
        <w:t xml:space="preserve"> premiums are effective from July 1</w:t>
      </w:r>
      <w:r w:rsidRPr="008B5CE8">
        <w:rPr>
          <w:rFonts w:asciiTheme="minorHAnsi" w:hAnsiTheme="minorHAnsi" w:cstheme="minorHAnsi"/>
          <w:vertAlign w:val="superscript"/>
        </w:rPr>
        <w:t>st</w:t>
      </w:r>
      <w:r w:rsidRPr="008B5CE8">
        <w:rPr>
          <w:rFonts w:asciiTheme="minorHAnsi" w:hAnsiTheme="minorHAnsi" w:cstheme="minorHAnsi"/>
        </w:rPr>
        <w:t xml:space="preserve">, </w:t>
      </w:r>
      <w:r w:rsidR="00132D92" w:rsidRPr="008B5CE8">
        <w:rPr>
          <w:rFonts w:asciiTheme="minorHAnsi" w:hAnsiTheme="minorHAnsi" w:cstheme="minorHAnsi"/>
        </w:rPr>
        <w:t xml:space="preserve">with </w:t>
      </w:r>
      <w:r w:rsidR="00843310" w:rsidRPr="008B5CE8">
        <w:rPr>
          <w:rFonts w:asciiTheme="minorHAnsi" w:hAnsiTheme="minorHAnsi" w:cstheme="minorHAnsi"/>
        </w:rPr>
        <w:t xml:space="preserve">the first payroll </w:t>
      </w:r>
      <w:r w:rsidR="00CC1F5B" w:rsidRPr="008B5CE8">
        <w:rPr>
          <w:rFonts w:asciiTheme="minorHAnsi" w:hAnsiTheme="minorHAnsi" w:cstheme="minorHAnsi"/>
        </w:rPr>
        <w:t xml:space="preserve">deduction </w:t>
      </w:r>
      <w:r w:rsidR="00132D92" w:rsidRPr="008B5CE8">
        <w:rPr>
          <w:rFonts w:asciiTheme="minorHAnsi" w:hAnsiTheme="minorHAnsi" w:cstheme="minorHAnsi"/>
        </w:rPr>
        <w:t>reflected</w:t>
      </w:r>
      <w:r w:rsidR="00CC1F5B" w:rsidRPr="008B5CE8">
        <w:rPr>
          <w:rFonts w:asciiTheme="minorHAnsi" w:hAnsiTheme="minorHAnsi" w:cstheme="minorHAnsi"/>
        </w:rPr>
        <w:t xml:space="preserve"> on the </w:t>
      </w:r>
      <w:r w:rsidR="00132D92" w:rsidRPr="008B5CE8">
        <w:rPr>
          <w:rFonts w:asciiTheme="minorHAnsi" w:hAnsiTheme="minorHAnsi" w:cstheme="minorHAnsi"/>
        </w:rPr>
        <w:t>July 19</w:t>
      </w:r>
      <w:r w:rsidR="00132D92" w:rsidRPr="008B5CE8">
        <w:rPr>
          <w:rFonts w:asciiTheme="minorHAnsi" w:hAnsiTheme="minorHAnsi" w:cstheme="minorHAnsi"/>
          <w:vertAlign w:val="superscript"/>
        </w:rPr>
        <w:t>th</w:t>
      </w:r>
      <w:r w:rsidR="00132D92" w:rsidRPr="008B5CE8">
        <w:rPr>
          <w:rFonts w:asciiTheme="minorHAnsi" w:hAnsiTheme="minorHAnsi" w:cstheme="minorHAnsi"/>
        </w:rPr>
        <w:t xml:space="preserve"> </w:t>
      </w:r>
      <w:r w:rsidR="00CC1F5B" w:rsidRPr="008B5CE8">
        <w:rPr>
          <w:rFonts w:asciiTheme="minorHAnsi" w:hAnsiTheme="minorHAnsi" w:cstheme="minorHAnsi"/>
        </w:rPr>
        <w:t>pay advice.</w:t>
      </w:r>
      <w:r w:rsidR="00627E4F">
        <w:rPr>
          <w:rFonts w:asciiTheme="minorHAnsi" w:hAnsiTheme="minorHAnsi" w:cstheme="minorHAnsi"/>
        </w:rPr>
        <w:t xml:space="preserve"> </w:t>
      </w:r>
      <w:r w:rsidR="00627E4F" w:rsidRPr="00627E4F">
        <w:rPr>
          <w:rFonts w:asciiTheme="minorHAnsi" w:hAnsiTheme="minorHAnsi" w:cstheme="minorHAnsi"/>
        </w:rPr>
        <w:t>Deduction</w:t>
      </w:r>
      <w:r w:rsidR="00627E4F">
        <w:rPr>
          <w:rFonts w:asciiTheme="minorHAnsi" w:hAnsiTheme="minorHAnsi" w:cstheme="minorHAnsi"/>
        </w:rPr>
        <w:t>s</w:t>
      </w:r>
      <w:r w:rsidR="00627E4F" w:rsidRPr="00627E4F">
        <w:rPr>
          <w:rFonts w:asciiTheme="minorHAnsi" w:hAnsiTheme="minorHAnsi" w:cstheme="minorHAnsi"/>
        </w:rPr>
        <w:t xml:space="preserve"> start dates will be determined for all other participants based off of the date the enrollment takes place – usually the pay period </w:t>
      </w:r>
      <w:r w:rsidR="00627E4F">
        <w:rPr>
          <w:rFonts w:asciiTheme="minorHAnsi" w:hAnsiTheme="minorHAnsi" w:cstheme="minorHAnsi"/>
        </w:rPr>
        <w:t>following</w:t>
      </w:r>
      <w:r w:rsidR="00627E4F" w:rsidRPr="00627E4F">
        <w:rPr>
          <w:rFonts w:asciiTheme="minorHAnsi" w:hAnsiTheme="minorHAnsi" w:cstheme="minorHAnsi"/>
        </w:rPr>
        <w:t xml:space="preserve"> enrollment.</w:t>
      </w:r>
    </w:p>
    <w:p w:rsidR="001E3939" w:rsidRPr="008B5CE8" w:rsidRDefault="001E3939" w:rsidP="001D040A">
      <w:pPr>
        <w:jc w:val="both"/>
        <w:rPr>
          <w:rFonts w:asciiTheme="minorHAnsi" w:hAnsiTheme="minorHAnsi" w:cstheme="minorHAnsi"/>
        </w:rPr>
      </w:pPr>
    </w:p>
    <w:p w:rsidR="001E3939" w:rsidRPr="008B5CE8" w:rsidRDefault="001E3939" w:rsidP="00B32AE7">
      <w:pPr>
        <w:tabs>
          <w:tab w:val="left" w:pos="450"/>
        </w:tabs>
        <w:ind w:left="450" w:hanging="450"/>
        <w:jc w:val="both"/>
        <w:rPr>
          <w:rFonts w:asciiTheme="minorHAnsi" w:hAnsiTheme="minorHAnsi" w:cstheme="minorHAnsi"/>
        </w:rPr>
      </w:pPr>
      <w:r w:rsidRPr="008B5CE8">
        <w:rPr>
          <w:rFonts w:asciiTheme="minorHAnsi" w:hAnsiTheme="minorHAnsi" w:cstheme="minorHAnsi"/>
          <w:b/>
        </w:rPr>
        <w:t>Q:</w:t>
      </w:r>
      <w:r w:rsidR="00132D92" w:rsidRPr="008B5CE8">
        <w:rPr>
          <w:rFonts w:asciiTheme="minorHAnsi" w:hAnsiTheme="minorHAnsi" w:cstheme="minorHAnsi"/>
          <w:b/>
        </w:rPr>
        <w:t xml:space="preserve"> </w:t>
      </w:r>
      <w:r w:rsidR="00843310" w:rsidRPr="008B5CE8">
        <w:rPr>
          <w:rFonts w:asciiTheme="minorHAnsi" w:hAnsiTheme="minorHAnsi" w:cstheme="minorHAnsi"/>
          <w:b/>
        </w:rPr>
        <w:tab/>
      </w:r>
      <w:r w:rsidR="007A4C7C">
        <w:rPr>
          <w:rFonts w:asciiTheme="minorHAnsi" w:hAnsiTheme="minorHAnsi" w:cstheme="minorHAnsi"/>
        </w:rPr>
        <w:t>If I am i</w:t>
      </w:r>
      <w:r w:rsidRPr="008B5CE8">
        <w:rPr>
          <w:rFonts w:asciiTheme="minorHAnsi" w:hAnsiTheme="minorHAnsi" w:cstheme="minorHAnsi"/>
        </w:rPr>
        <w:t>nterested in electing supplemental coverage, when can</w:t>
      </w:r>
      <w:r w:rsidR="007A4C7C">
        <w:rPr>
          <w:rFonts w:asciiTheme="minorHAnsi" w:hAnsiTheme="minorHAnsi" w:cstheme="minorHAnsi"/>
        </w:rPr>
        <w:t xml:space="preserve"> I</w:t>
      </w:r>
      <w:r w:rsidRPr="008B5CE8">
        <w:rPr>
          <w:rFonts w:asciiTheme="minorHAnsi" w:hAnsiTheme="minorHAnsi" w:cstheme="minorHAnsi"/>
        </w:rPr>
        <w:t xml:space="preserve"> do so?</w:t>
      </w:r>
    </w:p>
    <w:p w:rsidR="001266DE" w:rsidRPr="008B5CE8" w:rsidRDefault="001E3939" w:rsidP="00B32AE7">
      <w:pPr>
        <w:tabs>
          <w:tab w:val="left" w:pos="540"/>
        </w:tabs>
        <w:ind w:left="450" w:hanging="450"/>
        <w:jc w:val="both"/>
        <w:rPr>
          <w:rFonts w:asciiTheme="minorHAnsi" w:hAnsiTheme="minorHAnsi" w:cstheme="minorHAnsi"/>
        </w:rPr>
      </w:pPr>
      <w:r w:rsidRPr="008B5CE8">
        <w:rPr>
          <w:rFonts w:asciiTheme="minorHAnsi" w:hAnsiTheme="minorHAnsi" w:cstheme="minorHAnsi"/>
          <w:b/>
        </w:rPr>
        <w:t>A:</w:t>
      </w:r>
      <w:r w:rsidRPr="008B5CE8">
        <w:rPr>
          <w:rFonts w:asciiTheme="minorHAnsi" w:hAnsiTheme="minorHAnsi" w:cstheme="minorHAnsi"/>
        </w:rPr>
        <w:t xml:space="preserve"> </w:t>
      </w:r>
      <w:r w:rsidR="00132D92" w:rsidRPr="008B5CE8">
        <w:rPr>
          <w:rFonts w:asciiTheme="minorHAnsi" w:hAnsiTheme="minorHAnsi" w:cstheme="minorHAnsi"/>
        </w:rPr>
        <w:t xml:space="preserve"> </w:t>
      </w:r>
      <w:r w:rsidR="005A4BF8" w:rsidRPr="008B5CE8">
        <w:rPr>
          <w:rFonts w:asciiTheme="minorHAnsi" w:hAnsiTheme="minorHAnsi" w:cstheme="minorHAnsi"/>
        </w:rPr>
        <w:tab/>
      </w:r>
      <w:r w:rsidR="007A4C7C">
        <w:rPr>
          <w:rFonts w:asciiTheme="minorHAnsi" w:hAnsiTheme="minorHAnsi" w:cstheme="minorHAnsi"/>
        </w:rPr>
        <w:t xml:space="preserve">Risk Management is working with The Hartford to offer a Special Open Enrollment </w:t>
      </w:r>
      <w:r w:rsidR="001B0506">
        <w:rPr>
          <w:rFonts w:asciiTheme="minorHAnsi" w:hAnsiTheme="minorHAnsi" w:cstheme="minorHAnsi"/>
        </w:rPr>
        <w:t>running from</w:t>
      </w:r>
      <w:r w:rsidR="007A4C7C">
        <w:rPr>
          <w:rFonts w:asciiTheme="minorHAnsi" w:hAnsiTheme="minorHAnsi" w:cstheme="minorHAnsi"/>
        </w:rPr>
        <w:t xml:space="preserve"> </w:t>
      </w:r>
      <w:r w:rsidRPr="008B5CE8">
        <w:rPr>
          <w:rFonts w:asciiTheme="minorHAnsi" w:hAnsiTheme="minorHAnsi" w:cstheme="minorHAnsi"/>
        </w:rPr>
        <w:t>August</w:t>
      </w:r>
      <w:r w:rsidR="00CC1F5B" w:rsidRPr="008B5CE8">
        <w:rPr>
          <w:rFonts w:asciiTheme="minorHAnsi" w:hAnsiTheme="minorHAnsi" w:cstheme="minorHAnsi"/>
        </w:rPr>
        <w:t xml:space="preserve"> - November</w:t>
      </w:r>
      <w:r w:rsidR="00843310" w:rsidRPr="008B5CE8">
        <w:rPr>
          <w:rFonts w:asciiTheme="minorHAnsi" w:hAnsiTheme="minorHAnsi" w:cstheme="minorHAnsi"/>
        </w:rPr>
        <w:t xml:space="preserve"> 2019</w:t>
      </w:r>
      <w:r w:rsidR="005A4BF8" w:rsidRPr="008B5CE8">
        <w:rPr>
          <w:rFonts w:asciiTheme="minorHAnsi" w:hAnsiTheme="minorHAnsi" w:cstheme="minorHAnsi"/>
        </w:rPr>
        <w:t xml:space="preserve">. </w:t>
      </w:r>
      <w:r w:rsidR="00132D92" w:rsidRPr="008B5CE8">
        <w:rPr>
          <w:rFonts w:asciiTheme="minorHAnsi" w:hAnsiTheme="minorHAnsi" w:cstheme="minorHAnsi"/>
        </w:rPr>
        <w:t>D</w:t>
      </w:r>
      <w:r w:rsidRPr="008B5CE8">
        <w:rPr>
          <w:rFonts w:asciiTheme="minorHAnsi" w:hAnsiTheme="minorHAnsi" w:cstheme="minorHAnsi"/>
        </w:rPr>
        <w:t xml:space="preserve">etails </w:t>
      </w:r>
      <w:r w:rsidR="00132D92" w:rsidRPr="008B5CE8">
        <w:rPr>
          <w:rFonts w:asciiTheme="minorHAnsi" w:hAnsiTheme="minorHAnsi" w:cstheme="minorHAnsi"/>
        </w:rPr>
        <w:t>regarding</w:t>
      </w:r>
      <w:r w:rsidRPr="008B5CE8">
        <w:rPr>
          <w:rFonts w:asciiTheme="minorHAnsi" w:hAnsiTheme="minorHAnsi" w:cstheme="minorHAnsi"/>
        </w:rPr>
        <w:t xml:space="preserve"> th</w:t>
      </w:r>
      <w:r w:rsidR="00D94A3A" w:rsidRPr="008B5CE8">
        <w:rPr>
          <w:rFonts w:asciiTheme="minorHAnsi" w:hAnsiTheme="minorHAnsi" w:cstheme="minorHAnsi"/>
        </w:rPr>
        <w:t>e Special E</w:t>
      </w:r>
      <w:r w:rsidRPr="008B5CE8">
        <w:rPr>
          <w:rFonts w:asciiTheme="minorHAnsi" w:hAnsiTheme="minorHAnsi" w:cstheme="minorHAnsi"/>
        </w:rPr>
        <w:t xml:space="preserve">nrollment will be </w:t>
      </w:r>
      <w:r w:rsidR="00132D92" w:rsidRPr="008B5CE8">
        <w:rPr>
          <w:rFonts w:asciiTheme="minorHAnsi" w:hAnsiTheme="minorHAnsi" w:cstheme="minorHAnsi"/>
        </w:rPr>
        <w:t>communicated out to employees</w:t>
      </w:r>
      <w:r w:rsidR="00D94A3A" w:rsidRPr="008B5CE8">
        <w:rPr>
          <w:rFonts w:asciiTheme="minorHAnsi" w:hAnsiTheme="minorHAnsi" w:cstheme="minorHAnsi"/>
        </w:rPr>
        <w:t xml:space="preserve"> via Employee Benefits Newsletter, DoIT Email Blasts, and Round the Roundhouse</w:t>
      </w:r>
      <w:r w:rsidRPr="008B5CE8">
        <w:rPr>
          <w:rFonts w:asciiTheme="minorHAnsi" w:hAnsiTheme="minorHAnsi" w:cstheme="minorHAnsi"/>
        </w:rPr>
        <w:t>.</w:t>
      </w:r>
      <w:r w:rsidR="00D94A3A" w:rsidRPr="008B5CE8">
        <w:rPr>
          <w:rFonts w:asciiTheme="minorHAnsi" w:hAnsiTheme="minorHAnsi" w:cstheme="minorHAnsi"/>
        </w:rPr>
        <w:t xml:space="preserve"> </w:t>
      </w:r>
    </w:p>
    <w:p w:rsidR="001E3939" w:rsidRPr="008B5CE8" w:rsidRDefault="001E3939" w:rsidP="00843310">
      <w:pPr>
        <w:tabs>
          <w:tab w:val="left" w:pos="720"/>
        </w:tabs>
        <w:ind w:left="270"/>
        <w:jc w:val="both"/>
        <w:rPr>
          <w:rFonts w:asciiTheme="minorHAnsi" w:hAnsiTheme="minorHAnsi" w:cstheme="minorHAnsi"/>
        </w:rPr>
      </w:pPr>
    </w:p>
    <w:p w:rsidR="001E3939" w:rsidRPr="008B5CE8" w:rsidRDefault="001E3939" w:rsidP="00B32AE7">
      <w:pPr>
        <w:ind w:left="450" w:hanging="450"/>
        <w:jc w:val="both"/>
        <w:rPr>
          <w:rFonts w:asciiTheme="minorHAnsi" w:hAnsiTheme="minorHAnsi" w:cstheme="minorHAnsi"/>
        </w:rPr>
      </w:pPr>
      <w:r w:rsidRPr="008B5CE8">
        <w:rPr>
          <w:rFonts w:asciiTheme="minorHAnsi" w:hAnsiTheme="minorHAnsi" w:cstheme="minorHAnsi"/>
          <w:b/>
        </w:rPr>
        <w:t>Q:</w:t>
      </w:r>
      <w:r w:rsidR="00B32AE7">
        <w:rPr>
          <w:rFonts w:asciiTheme="minorHAnsi" w:hAnsiTheme="minorHAnsi" w:cstheme="minorHAnsi"/>
        </w:rPr>
        <w:tab/>
      </w:r>
      <w:r w:rsidRPr="008B5CE8">
        <w:rPr>
          <w:rFonts w:asciiTheme="minorHAnsi" w:hAnsiTheme="minorHAnsi" w:cstheme="minorHAnsi"/>
        </w:rPr>
        <w:t>What are the premiums for the new coverage?</w:t>
      </w:r>
    </w:p>
    <w:p w:rsidR="00CC1F5B" w:rsidRPr="008B5CE8" w:rsidRDefault="001E3939" w:rsidP="00627E4F">
      <w:pPr>
        <w:pStyle w:val="Default"/>
        <w:ind w:left="450" w:hanging="45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5CE8">
        <w:rPr>
          <w:rFonts w:asciiTheme="minorHAnsi" w:hAnsiTheme="minorHAnsi" w:cstheme="minorHAnsi"/>
          <w:b/>
          <w:color w:val="auto"/>
          <w:sz w:val="22"/>
          <w:szCs w:val="22"/>
        </w:rPr>
        <w:t>A:</w:t>
      </w:r>
      <w:r w:rsidRPr="008B5CE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94A3A" w:rsidRPr="008B5CE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A4BF8" w:rsidRPr="008B5CE8">
        <w:rPr>
          <w:rFonts w:asciiTheme="minorHAnsi" w:hAnsiTheme="minorHAnsi" w:cstheme="minorHAnsi"/>
          <w:color w:val="auto"/>
          <w:sz w:val="22"/>
          <w:szCs w:val="22"/>
        </w:rPr>
        <w:tab/>
      </w:r>
      <w:r w:rsidR="00627E4F">
        <w:rPr>
          <w:rFonts w:asciiTheme="minorHAnsi" w:hAnsiTheme="minorHAnsi" w:cstheme="minorHAnsi"/>
          <w:color w:val="auto"/>
          <w:sz w:val="22"/>
          <w:szCs w:val="22"/>
        </w:rPr>
        <w:t xml:space="preserve">Please see the new rates listed below. The </w:t>
      </w:r>
      <w:r w:rsidR="00CC1F5B" w:rsidRPr="008B5CE8">
        <w:rPr>
          <w:rFonts w:asciiTheme="minorHAnsi" w:hAnsiTheme="minorHAnsi" w:cstheme="minorHAnsi"/>
          <w:color w:val="auto"/>
          <w:sz w:val="22"/>
          <w:szCs w:val="22"/>
        </w:rPr>
        <w:t xml:space="preserve">following link </w:t>
      </w:r>
      <w:r w:rsidR="00627E4F">
        <w:rPr>
          <w:rFonts w:asciiTheme="minorHAnsi" w:hAnsiTheme="minorHAnsi" w:cstheme="minorHAnsi"/>
          <w:color w:val="auto"/>
          <w:sz w:val="22"/>
          <w:szCs w:val="22"/>
        </w:rPr>
        <w:t xml:space="preserve">may be used </w:t>
      </w:r>
      <w:r w:rsidR="00CC1F5B" w:rsidRPr="008B5CE8">
        <w:rPr>
          <w:rFonts w:asciiTheme="minorHAnsi" w:hAnsiTheme="minorHAnsi" w:cstheme="minorHAnsi"/>
          <w:color w:val="auto"/>
          <w:sz w:val="22"/>
          <w:szCs w:val="22"/>
        </w:rPr>
        <w:t xml:space="preserve">to determine </w:t>
      </w:r>
      <w:r w:rsidR="00D94A3A" w:rsidRPr="008B5CE8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CC1F5B" w:rsidRPr="008B5CE8">
        <w:rPr>
          <w:rFonts w:asciiTheme="minorHAnsi" w:hAnsiTheme="minorHAnsi" w:cstheme="minorHAnsi"/>
          <w:color w:val="auto"/>
          <w:sz w:val="22"/>
          <w:szCs w:val="22"/>
        </w:rPr>
        <w:t xml:space="preserve"> bi-weekly premium rate:   </w:t>
      </w:r>
      <w:hyperlink r:id="rId7" w:history="1">
        <w:r w:rsidR="007A4C7C" w:rsidRPr="00FF0455">
          <w:rPr>
            <w:rStyle w:val="Hyperlink"/>
            <w:rFonts w:asciiTheme="minorHAnsi" w:hAnsiTheme="minorHAnsi" w:cstheme="minorHAnsi"/>
            <w:sz w:val="22"/>
            <w:szCs w:val="22"/>
          </w:rPr>
          <w:t>www.thehartford.com/cost/SONM2</w:t>
        </w:r>
      </w:hyperlink>
      <w:r w:rsidR="007A4C7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0C426C" w:rsidRPr="008B5CE8" w:rsidRDefault="000C426C" w:rsidP="001D040A">
      <w:pPr>
        <w:jc w:val="both"/>
        <w:rPr>
          <w:rFonts w:asciiTheme="minorHAnsi" w:hAnsiTheme="minorHAnsi" w:cstheme="minorHAnsi"/>
        </w:rPr>
      </w:pPr>
    </w:p>
    <w:p w:rsidR="00CC1F5B" w:rsidRPr="006123E7" w:rsidRDefault="001B0506" w:rsidP="001B0506">
      <w:pPr>
        <w:ind w:left="117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CC1F5B" w:rsidRPr="008B5CE8">
        <w:rPr>
          <w:rFonts w:asciiTheme="minorHAnsi" w:hAnsiTheme="minorHAnsi" w:cstheme="minorHAnsi"/>
          <w:b/>
        </w:rPr>
        <w:t>Age Rated Rates:</w:t>
      </w:r>
    </w:p>
    <w:tbl>
      <w:tblPr>
        <w:tblW w:w="7966" w:type="dxa"/>
        <w:tblInd w:w="1170" w:type="dxa"/>
        <w:tblLook w:val="04A0" w:firstRow="1" w:lastRow="0" w:firstColumn="1" w:lastColumn="0" w:noHBand="0" w:noVBand="1"/>
      </w:tblPr>
      <w:tblGrid>
        <w:gridCol w:w="2529"/>
        <w:gridCol w:w="1677"/>
        <w:gridCol w:w="2100"/>
        <w:gridCol w:w="1660"/>
      </w:tblGrid>
      <w:tr w:rsidR="00F4049F" w:rsidRPr="008B5CE8" w:rsidTr="001B0506">
        <w:trPr>
          <w:trHeight w:val="272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C1F5B" w:rsidRPr="008B5CE8" w:rsidRDefault="003532B3" w:rsidP="003532B3">
            <w:pPr>
              <w:ind w:left="702"/>
              <w:jc w:val="both"/>
              <w:rPr>
                <w:rFonts w:asciiTheme="minorHAnsi" w:eastAsia="Times New Roman" w:hAnsiTheme="minorHAnsi" w:cstheme="minorHAnsi"/>
              </w:rPr>
            </w:pPr>
            <w:r w:rsidRPr="008B5CE8">
              <w:rPr>
                <w:rFonts w:asciiTheme="minorHAnsi" w:eastAsia="Times New Roman" w:hAnsiTheme="minorHAnsi" w:cstheme="minorHAnsi"/>
              </w:rPr>
              <w:t xml:space="preserve"> </w:t>
            </w:r>
            <w:r w:rsidR="00CC1F5B" w:rsidRPr="008B5CE8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C1F5B" w:rsidRPr="008B5CE8" w:rsidRDefault="00CC1F5B" w:rsidP="001D040A">
            <w:pPr>
              <w:jc w:val="both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B5CE8">
              <w:rPr>
                <w:rFonts w:asciiTheme="minorHAnsi" w:eastAsia="Times New Roman" w:hAnsiTheme="minorHAnsi" w:cstheme="minorHAnsi"/>
                <w:b/>
                <w:bCs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C1F5B" w:rsidRPr="008B5CE8" w:rsidRDefault="00CC1F5B" w:rsidP="001D040A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8B5CE8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C1F5B" w:rsidRPr="008B5CE8" w:rsidRDefault="00CC1F5B" w:rsidP="001D040A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8B5CE8">
              <w:rPr>
                <w:rFonts w:asciiTheme="minorHAnsi" w:eastAsia="Times New Roman" w:hAnsiTheme="minorHAnsi" w:cstheme="minorHAnsi"/>
              </w:rPr>
              <w:t> </w:t>
            </w:r>
          </w:p>
        </w:tc>
      </w:tr>
      <w:tr w:rsidR="00F4049F" w:rsidRPr="008B5CE8" w:rsidTr="001B0506">
        <w:trPr>
          <w:trHeight w:val="272"/>
        </w:trPr>
        <w:tc>
          <w:tcPr>
            <w:tcW w:w="6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5B" w:rsidRPr="008B5CE8" w:rsidRDefault="00CC1F5B" w:rsidP="001D040A">
            <w:pPr>
              <w:jc w:val="both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B5CE8">
              <w:rPr>
                <w:rFonts w:asciiTheme="minorHAnsi" w:eastAsia="Times New Roman" w:hAnsiTheme="minorHAnsi" w:cstheme="minorHAnsi"/>
                <w:b/>
                <w:bCs/>
              </w:rPr>
              <w:t>Supplemental Life:  Employee and Spouse/Domestic Partner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5B" w:rsidRPr="008B5CE8" w:rsidRDefault="00CC1F5B" w:rsidP="001D040A">
            <w:pPr>
              <w:jc w:val="both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  <w:tr w:rsidR="00F4049F" w:rsidRPr="008B5CE8" w:rsidTr="001B0506">
        <w:trPr>
          <w:trHeight w:val="75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5B" w:rsidRPr="008B5CE8" w:rsidRDefault="00CC1F5B" w:rsidP="001D040A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5B" w:rsidRPr="008B5CE8" w:rsidRDefault="00CC1F5B" w:rsidP="001D040A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5B" w:rsidRPr="008B5CE8" w:rsidRDefault="00CC1F5B" w:rsidP="001D040A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5B" w:rsidRPr="008B5CE8" w:rsidRDefault="00CC1F5B" w:rsidP="001D040A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F4049F" w:rsidRPr="008B5CE8" w:rsidTr="001B0506">
        <w:trPr>
          <w:trHeight w:val="272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5B" w:rsidRPr="008B5CE8" w:rsidRDefault="00CC1F5B" w:rsidP="001D040A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8B5CE8">
              <w:rPr>
                <w:rFonts w:asciiTheme="minorHAnsi" w:eastAsia="Times New Roman" w:hAnsiTheme="minorHAnsi" w:cstheme="minorHAnsi"/>
              </w:rPr>
              <w:t>Step Rates:</w:t>
            </w:r>
          </w:p>
        </w:tc>
        <w:tc>
          <w:tcPr>
            <w:tcW w:w="5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5B" w:rsidRPr="008B5CE8" w:rsidRDefault="00CC1F5B" w:rsidP="001D040A">
            <w:pPr>
              <w:jc w:val="both"/>
              <w:rPr>
                <w:rFonts w:asciiTheme="minorHAnsi" w:eastAsia="Times New Roman" w:hAnsiTheme="minorHAnsi" w:cstheme="minorHAnsi"/>
                <w:u w:val="single"/>
              </w:rPr>
            </w:pPr>
            <w:r w:rsidRPr="008B5CE8">
              <w:rPr>
                <w:rFonts w:asciiTheme="minorHAnsi" w:eastAsia="Times New Roman" w:hAnsiTheme="minorHAnsi" w:cstheme="minorHAnsi"/>
                <w:u w:val="single"/>
              </w:rPr>
              <w:t>Monthly Premium Rate Per $1,000 of Coverage</w:t>
            </w:r>
          </w:p>
        </w:tc>
      </w:tr>
      <w:tr w:rsidR="00F4049F" w:rsidRPr="008B5CE8" w:rsidTr="001B0506">
        <w:trPr>
          <w:trHeight w:val="272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5B" w:rsidRPr="008B5CE8" w:rsidRDefault="00CC1F5B" w:rsidP="001D040A">
            <w:pPr>
              <w:jc w:val="both"/>
              <w:rPr>
                <w:rFonts w:asciiTheme="minorHAnsi" w:eastAsia="Times New Roman" w:hAnsiTheme="minorHAnsi" w:cstheme="minorHAnsi"/>
                <w:u w:val="singl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5B" w:rsidRPr="008B5CE8" w:rsidRDefault="00CC1F5B" w:rsidP="001D040A">
            <w:pPr>
              <w:jc w:val="both"/>
              <w:rPr>
                <w:rFonts w:asciiTheme="minorHAnsi" w:eastAsia="Times New Roman" w:hAnsiTheme="minorHAnsi" w:cstheme="minorHAnsi"/>
                <w:b/>
                <w:bCs/>
                <w:u w:val="single"/>
              </w:rPr>
            </w:pPr>
            <w:r w:rsidRPr="008B5CE8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Age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5B" w:rsidRPr="008B5CE8" w:rsidRDefault="00CC1F5B" w:rsidP="001D040A">
            <w:pPr>
              <w:jc w:val="both"/>
              <w:rPr>
                <w:rFonts w:asciiTheme="minorHAnsi" w:eastAsia="Times New Roman" w:hAnsiTheme="minorHAnsi" w:cstheme="minorHAnsi"/>
                <w:b/>
                <w:bCs/>
                <w:u w:val="single"/>
              </w:rPr>
            </w:pPr>
            <w:r w:rsidRPr="008B5CE8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Rate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5B" w:rsidRPr="008B5CE8" w:rsidRDefault="00CC1F5B" w:rsidP="001D040A">
            <w:pPr>
              <w:jc w:val="both"/>
              <w:rPr>
                <w:rFonts w:asciiTheme="minorHAnsi" w:eastAsia="Times New Roman" w:hAnsiTheme="minorHAnsi" w:cstheme="minorHAnsi"/>
                <w:b/>
                <w:bCs/>
                <w:u w:val="single"/>
              </w:rPr>
            </w:pPr>
          </w:p>
        </w:tc>
      </w:tr>
      <w:tr w:rsidR="00F4049F" w:rsidRPr="008B5CE8" w:rsidTr="001B0506">
        <w:trPr>
          <w:trHeight w:val="272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5B" w:rsidRPr="008B5CE8" w:rsidRDefault="00CC1F5B" w:rsidP="001D040A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5B" w:rsidRPr="008B5CE8" w:rsidRDefault="00CC1F5B" w:rsidP="001D040A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8B5CE8">
              <w:rPr>
                <w:rFonts w:asciiTheme="minorHAnsi" w:eastAsia="Times New Roman" w:hAnsiTheme="minorHAnsi" w:cstheme="minorHAnsi"/>
              </w:rPr>
              <w:t>&lt; 25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F5B" w:rsidRPr="008B5CE8" w:rsidRDefault="00CC1F5B" w:rsidP="001D040A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8B5CE8">
              <w:rPr>
                <w:rFonts w:asciiTheme="minorHAnsi" w:eastAsia="Times New Roman" w:hAnsiTheme="minorHAnsi" w:cstheme="minorHAnsi"/>
              </w:rPr>
              <w:t xml:space="preserve">$0.063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5B" w:rsidRPr="008B5CE8" w:rsidRDefault="00CC1F5B" w:rsidP="001D040A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F4049F" w:rsidRPr="008B5CE8" w:rsidTr="001B0506">
        <w:trPr>
          <w:trHeight w:val="272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5B" w:rsidRPr="008B5CE8" w:rsidRDefault="00CC1F5B" w:rsidP="001D040A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5B" w:rsidRPr="008B5CE8" w:rsidRDefault="00CC1F5B" w:rsidP="001D040A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8B5CE8">
              <w:rPr>
                <w:rFonts w:asciiTheme="minorHAnsi" w:eastAsia="Times New Roman" w:hAnsiTheme="minorHAnsi" w:cstheme="minorHAnsi"/>
              </w:rPr>
              <w:t>25-29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F5B" w:rsidRPr="008B5CE8" w:rsidRDefault="00CC1F5B" w:rsidP="001D040A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8B5CE8">
              <w:rPr>
                <w:rFonts w:asciiTheme="minorHAnsi" w:eastAsia="Times New Roman" w:hAnsiTheme="minorHAnsi" w:cstheme="minorHAnsi"/>
              </w:rPr>
              <w:t xml:space="preserve">$0.063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5B" w:rsidRPr="008B5CE8" w:rsidRDefault="00CC1F5B" w:rsidP="001D040A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F4049F" w:rsidRPr="008B5CE8" w:rsidTr="001B0506">
        <w:trPr>
          <w:trHeight w:val="272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5B" w:rsidRPr="008B5CE8" w:rsidRDefault="00CC1F5B" w:rsidP="001D040A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5B" w:rsidRPr="008B5CE8" w:rsidRDefault="00CC1F5B" w:rsidP="001D040A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8B5CE8">
              <w:rPr>
                <w:rFonts w:asciiTheme="minorHAnsi" w:eastAsia="Times New Roman" w:hAnsiTheme="minorHAnsi" w:cstheme="minorHAnsi"/>
              </w:rPr>
              <w:t>30-34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F5B" w:rsidRPr="008B5CE8" w:rsidRDefault="00CC1F5B" w:rsidP="001D040A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8B5CE8">
              <w:rPr>
                <w:rFonts w:asciiTheme="minorHAnsi" w:eastAsia="Times New Roman" w:hAnsiTheme="minorHAnsi" w:cstheme="minorHAnsi"/>
              </w:rPr>
              <w:t xml:space="preserve">$0.084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5B" w:rsidRPr="008B5CE8" w:rsidRDefault="00CC1F5B" w:rsidP="001D040A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F4049F" w:rsidRPr="008B5CE8" w:rsidTr="001B0506">
        <w:trPr>
          <w:trHeight w:val="272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5B" w:rsidRPr="008B5CE8" w:rsidRDefault="00CC1F5B" w:rsidP="001D040A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5B" w:rsidRPr="008B5CE8" w:rsidRDefault="00CC1F5B" w:rsidP="001D040A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8B5CE8">
              <w:rPr>
                <w:rFonts w:asciiTheme="minorHAnsi" w:eastAsia="Times New Roman" w:hAnsiTheme="minorHAnsi" w:cstheme="minorHAnsi"/>
              </w:rPr>
              <w:t>35-39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F5B" w:rsidRPr="008B5CE8" w:rsidRDefault="00CC1F5B" w:rsidP="001D040A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8B5CE8">
              <w:rPr>
                <w:rFonts w:asciiTheme="minorHAnsi" w:eastAsia="Times New Roman" w:hAnsiTheme="minorHAnsi" w:cstheme="minorHAnsi"/>
              </w:rPr>
              <w:t xml:space="preserve">$0.094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5B" w:rsidRPr="008B5CE8" w:rsidRDefault="00CC1F5B" w:rsidP="001D040A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F4049F" w:rsidRPr="008B5CE8" w:rsidTr="001B0506">
        <w:trPr>
          <w:trHeight w:val="272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5B" w:rsidRPr="008B5CE8" w:rsidRDefault="00CC1F5B" w:rsidP="001D040A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5B" w:rsidRPr="008B5CE8" w:rsidRDefault="00CC1F5B" w:rsidP="001D040A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8B5CE8">
              <w:rPr>
                <w:rFonts w:asciiTheme="minorHAnsi" w:eastAsia="Times New Roman" w:hAnsiTheme="minorHAnsi" w:cstheme="minorHAnsi"/>
              </w:rPr>
              <w:t>40-44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F5B" w:rsidRPr="008B5CE8" w:rsidRDefault="00CC1F5B" w:rsidP="001D040A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8B5CE8">
              <w:rPr>
                <w:rFonts w:asciiTheme="minorHAnsi" w:eastAsia="Times New Roman" w:hAnsiTheme="minorHAnsi" w:cstheme="minorHAnsi"/>
              </w:rPr>
              <w:t xml:space="preserve">$0.115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5B" w:rsidRPr="008B5CE8" w:rsidRDefault="00CC1F5B" w:rsidP="001D040A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F4049F" w:rsidRPr="008B5CE8" w:rsidTr="001B0506">
        <w:trPr>
          <w:trHeight w:val="272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5B" w:rsidRPr="008B5CE8" w:rsidRDefault="00CC1F5B" w:rsidP="001D040A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5B" w:rsidRPr="008B5CE8" w:rsidRDefault="00CC1F5B" w:rsidP="001D040A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8B5CE8">
              <w:rPr>
                <w:rFonts w:asciiTheme="minorHAnsi" w:eastAsia="Times New Roman" w:hAnsiTheme="minorHAnsi" w:cstheme="minorHAnsi"/>
              </w:rPr>
              <w:t>45-49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F5B" w:rsidRPr="008B5CE8" w:rsidRDefault="00CC1F5B" w:rsidP="001D040A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8B5CE8">
              <w:rPr>
                <w:rFonts w:asciiTheme="minorHAnsi" w:eastAsia="Times New Roman" w:hAnsiTheme="minorHAnsi" w:cstheme="minorHAnsi"/>
              </w:rPr>
              <w:t xml:space="preserve">$0.170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5B" w:rsidRPr="008B5CE8" w:rsidRDefault="00CC1F5B" w:rsidP="001D040A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F4049F" w:rsidRPr="008B5CE8" w:rsidTr="001B0506">
        <w:trPr>
          <w:trHeight w:val="272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5B" w:rsidRPr="008B5CE8" w:rsidRDefault="00CC1F5B" w:rsidP="001D040A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5B" w:rsidRPr="008B5CE8" w:rsidRDefault="00CC1F5B" w:rsidP="001D040A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8B5CE8">
              <w:rPr>
                <w:rFonts w:asciiTheme="minorHAnsi" w:eastAsia="Times New Roman" w:hAnsiTheme="minorHAnsi" w:cstheme="minorHAnsi"/>
              </w:rPr>
              <w:t>50-54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F5B" w:rsidRPr="008B5CE8" w:rsidRDefault="00CC1F5B" w:rsidP="001D040A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8B5CE8">
              <w:rPr>
                <w:rFonts w:asciiTheme="minorHAnsi" w:eastAsia="Times New Roman" w:hAnsiTheme="minorHAnsi" w:cstheme="minorHAnsi"/>
              </w:rPr>
              <w:t xml:space="preserve">$0.292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5B" w:rsidRPr="008B5CE8" w:rsidRDefault="00CC1F5B" w:rsidP="001D040A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F4049F" w:rsidRPr="008B5CE8" w:rsidTr="001B0506">
        <w:trPr>
          <w:trHeight w:val="272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5B" w:rsidRPr="008B5CE8" w:rsidRDefault="00CC1F5B" w:rsidP="001D040A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5B" w:rsidRPr="008B5CE8" w:rsidRDefault="00CC1F5B" w:rsidP="001D040A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8B5CE8">
              <w:rPr>
                <w:rFonts w:asciiTheme="minorHAnsi" w:eastAsia="Times New Roman" w:hAnsiTheme="minorHAnsi" w:cstheme="minorHAnsi"/>
              </w:rPr>
              <w:t>55-59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F5B" w:rsidRPr="008B5CE8" w:rsidRDefault="00CC1F5B" w:rsidP="001D040A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8B5CE8">
              <w:rPr>
                <w:rFonts w:asciiTheme="minorHAnsi" w:eastAsia="Times New Roman" w:hAnsiTheme="minorHAnsi" w:cstheme="minorHAnsi"/>
              </w:rPr>
              <w:t xml:space="preserve">$0.491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5B" w:rsidRPr="008B5CE8" w:rsidRDefault="00CC1F5B" w:rsidP="001D040A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F4049F" w:rsidRPr="008B5CE8" w:rsidTr="001B0506">
        <w:trPr>
          <w:trHeight w:val="272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5B" w:rsidRPr="008B5CE8" w:rsidRDefault="00CC1F5B" w:rsidP="001D040A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5B" w:rsidRPr="008B5CE8" w:rsidRDefault="00CC1F5B" w:rsidP="001D040A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8B5CE8">
              <w:rPr>
                <w:rFonts w:asciiTheme="minorHAnsi" w:eastAsia="Times New Roman" w:hAnsiTheme="minorHAnsi" w:cstheme="minorHAnsi"/>
              </w:rPr>
              <w:t>60-64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F5B" w:rsidRPr="008B5CE8" w:rsidRDefault="00CC1F5B" w:rsidP="001D040A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8B5CE8">
              <w:rPr>
                <w:rFonts w:asciiTheme="minorHAnsi" w:eastAsia="Times New Roman" w:hAnsiTheme="minorHAnsi" w:cstheme="minorHAnsi"/>
              </w:rPr>
              <w:t xml:space="preserve">$0.835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5B" w:rsidRPr="008B5CE8" w:rsidRDefault="00CC1F5B" w:rsidP="001D040A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F4049F" w:rsidRPr="008B5CE8" w:rsidTr="001B0506">
        <w:trPr>
          <w:trHeight w:val="272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5B" w:rsidRPr="008B5CE8" w:rsidRDefault="00CC1F5B" w:rsidP="001D040A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5B" w:rsidRPr="008B5CE8" w:rsidRDefault="00CC1F5B" w:rsidP="001D040A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8B5CE8">
              <w:rPr>
                <w:rFonts w:asciiTheme="minorHAnsi" w:eastAsia="Times New Roman" w:hAnsiTheme="minorHAnsi" w:cstheme="minorHAnsi"/>
              </w:rPr>
              <w:t>65-69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F5B" w:rsidRPr="008B5CE8" w:rsidRDefault="00CC1F5B" w:rsidP="001D040A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8B5CE8">
              <w:rPr>
                <w:rFonts w:asciiTheme="minorHAnsi" w:eastAsia="Times New Roman" w:hAnsiTheme="minorHAnsi" w:cstheme="minorHAnsi"/>
              </w:rPr>
              <w:t xml:space="preserve">$1.347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5B" w:rsidRPr="008B5CE8" w:rsidRDefault="00CC1F5B" w:rsidP="001D040A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F4049F" w:rsidRPr="008B5CE8" w:rsidTr="001B0506">
        <w:trPr>
          <w:trHeight w:val="272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5B" w:rsidRPr="008B5CE8" w:rsidRDefault="00CC1F5B" w:rsidP="001D040A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5B" w:rsidRPr="008B5CE8" w:rsidRDefault="00CC1F5B" w:rsidP="001D040A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8B5CE8">
              <w:rPr>
                <w:rFonts w:asciiTheme="minorHAnsi" w:eastAsia="Times New Roman" w:hAnsiTheme="minorHAnsi" w:cstheme="minorHAnsi"/>
              </w:rPr>
              <w:t>70+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F5B" w:rsidRPr="008B5CE8" w:rsidRDefault="00CC1F5B" w:rsidP="001D040A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8B5CE8">
              <w:rPr>
                <w:rFonts w:asciiTheme="minorHAnsi" w:eastAsia="Times New Roman" w:hAnsiTheme="minorHAnsi" w:cstheme="minorHAnsi"/>
              </w:rPr>
              <w:t xml:space="preserve">$3.299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5B" w:rsidRPr="008B5CE8" w:rsidRDefault="00CC1F5B" w:rsidP="001D040A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F4049F" w:rsidRPr="008B5CE8" w:rsidTr="001B0506">
        <w:trPr>
          <w:trHeight w:val="272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C1F5B" w:rsidRPr="008B5CE8" w:rsidRDefault="00CC1F5B" w:rsidP="001D040A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8B5CE8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C1F5B" w:rsidRPr="008B5CE8" w:rsidRDefault="00CC1F5B" w:rsidP="001D040A">
            <w:pPr>
              <w:jc w:val="both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B5CE8">
              <w:rPr>
                <w:rFonts w:asciiTheme="minorHAnsi" w:eastAsia="Times New Roman" w:hAnsiTheme="minorHAnsi" w:cstheme="minorHAnsi"/>
                <w:b/>
                <w:bCs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C1F5B" w:rsidRPr="008B5CE8" w:rsidRDefault="00CC1F5B" w:rsidP="001D040A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8B5CE8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C1F5B" w:rsidRPr="008B5CE8" w:rsidRDefault="00CC1F5B" w:rsidP="001D040A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8B5CE8">
              <w:rPr>
                <w:rFonts w:asciiTheme="minorHAnsi" w:eastAsia="Times New Roman" w:hAnsiTheme="minorHAnsi" w:cstheme="minorHAnsi"/>
              </w:rPr>
              <w:t> </w:t>
            </w:r>
          </w:p>
        </w:tc>
      </w:tr>
      <w:tr w:rsidR="00F4049F" w:rsidRPr="008B5CE8" w:rsidTr="001B0506">
        <w:trPr>
          <w:trHeight w:val="272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5B" w:rsidRPr="008B5CE8" w:rsidRDefault="00CC1F5B" w:rsidP="001D040A">
            <w:pPr>
              <w:jc w:val="both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B5CE8">
              <w:rPr>
                <w:rFonts w:asciiTheme="minorHAnsi" w:eastAsia="Times New Roman" w:hAnsiTheme="minorHAnsi" w:cstheme="minorHAnsi"/>
                <w:b/>
                <w:bCs/>
              </w:rPr>
              <w:t>Supp</w:t>
            </w:r>
            <w:r w:rsidR="00E47024" w:rsidRPr="008B5CE8">
              <w:rPr>
                <w:rFonts w:asciiTheme="minorHAnsi" w:eastAsia="Times New Roman" w:hAnsiTheme="minorHAnsi" w:cstheme="minorHAnsi"/>
                <w:b/>
                <w:bCs/>
              </w:rPr>
              <w:t>lemental</w:t>
            </w:r>
            <w:r w:rsidRPr="008B5CE8">
              <w:rPr>
                <w:rFonts w:asciiTheme="minorHAnsi" w:eastAsia="Times New Roman" w:hAnsiTheme="minorHAnsi" w:cstheme="minorHAnsi"/>
                <w:b/>
                <w:bCs/>
              </w:rPr>
              <w:t xml:space="preserve"> AD&amp;D: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5B" w:rsidRPr="008B5CE8" w:rsidRDefault="00CC1F5B" w:rsidP="001D040A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8B5CE8">
              <w:rPr>
                <w:rFonts w:asciiTheme="minorHAnsi" w:eastAsia="Times New Roman" w:hAnsiTheme="minorHAnsi" w:cstheme="minorHAnsi"/>
              </w:rPr>
              <w:t>$0.0200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5B" w:rsidRPr="008B5CE8" w:rsidRDefault="00CC1F5B" w:rsidP="001D040A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8B5CE8">
              <w:rPr>
                <w:rFonts w:asciiTheme="minorHAnsi" w:eastAsia="Times New Roman" w:hAnsiTheme="minorHAnsi" w:cstheme="minorHAnsi"/>
              </w:rPr>
              <w:t>per $1000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5B" w:rsidRPr="008B5CE8" w:rsidRDefault="00CC1F5B" w:rsidP="001D040A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F4049F" w:rsidRPr="008B5CE8" w:rsidTr="001B0506">
        <w:trPr>
          <w:trHeight w:val="272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C1F5B" w:rsidRPr="008B5CE8" w:rsidRDefault="00CC1F5B" w:rsidP="001D040A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8B5CE8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C1F5B" w:rsidRPr="008B5CE8" w:rsidRDefault="00CC1F5B" w:rsidP="001D040A">
            <w:pPr>
              <w:jc w:val="both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B5CE8">
              <w:rPr>
                <w:rFonts w:asciiTheme="minorHAnsi" w:eastAsia="Times New Roman" w:hAnsiTheme="minorHAnsi" w:cstheme="minorHAnsi"/>
                <w:b/>
                <w:bCs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C1F5B" w:rsidRPr="008B5CE8" w:rsidRDefault="00CC1F5B" w:rsidP="001D040A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8B5CE8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C1F5B" w:rsidRPr="008B5CE8" w:rsidRDefault="00CC1F5B" w:rsidP="001D040A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8B5CE8">
              <w:rPr>
                <w:rFonts w:asciiTheme="minorHAnsi" w:eastAsia="Times New Roman" w:hAnsiTheme="minorHAnsi" w:cstheme="minorHAnsi"/>
              </w:rPr>
              <w:t> </w:t>
            </w:r>
          </w:p>
        </w:tc>
      </w:tr>
      <w:tr w:rsidR="00F4049F" w:rsidRPr="008B5CE8" w:rsidTr="001B0506">
        <w:trPr>
          <w:trHeight w:val="272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5B" w:rsidRPr="008B5CE8" w:rsidRDefault="00CC1F5B" w:rsidP="001D040A">
            <w:pPr>
              <w:jc w:val="both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B5CE8">
              <w:rPr>
                <w:rFonts w:asciiTheme="minorHAnsi" w:eastAsia="Times New Roman" w:hAnsiTheme="minorHAnsi" w:cstheme="minorHAnsi"/>
                <w:b/>
                <w:bCs/>
              </w:rPr>
              <w:t>Supplemental Life: Child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5B" w:rsidRPr="008B5CE8" w:rsidRDefault="007A4C7C" w:rsidP="001D040A">
            <w:pPr>
              <w:jc w:val="both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          </w:t>
            </w:r>
            <w:r w:rsidR="00CC1F5B" w:rsidRPr="008B5CE8">
              <w:rPr>
                <w:rFonts w:asciiTheme="minorHAnsi" w:eastAsia="Times New Roman" w:hAnsiTheme="minorHAnsi" w:cstheme="minorHAnsi"/>
                <w:b/>
                <w:bCs/>
              </w:rPr>
              <w:t>Benefit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5B" w:rsidRPr="008B5CE8" w:rsidRDefault="007A4C7C" w:rsidP="001D040A">
            <w:pPr>
              <w:jc w:val="both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                </w:t>
            </w:r>
            <w:r w:rsidR="00CC1F5B" w:rsidRPr="008B5CE8">
              <w:rPr>
                <w:rFonts w:asciiTheme="minorHAnsi" w:eastAsia="Times New Roman" w:hAnsiTheme="minorHAnsi" w:cstheme="minorHAnsi"/>
                <w:b/>
                <w:bCs/>
              </w:rPr>
              <w:t>Cost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5B" w:rsidRPr="008B5CE8" w:rsidRDefault="00CC1F5B" w:rsidP="001D040A">
            <w:pPr>
              <w:jc w:val="both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  <w:tr w:rsidR="00F4049F" w:rsidRPr="008B5CE8" w:rsidTr="001B0506">
        <w:trPr>
          <w:trHeight w:val="272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5B" w:rsidRPr="008B5CE8" w:rsidRDefault="00CC1F5B" w:rsidP="001D040A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8B5CE8">
              <w:rPr>
                <w:rFonts w:asciiTheme="minorHAnsi" w:eastAsia="Times New Roman" w:hAnsiTheme="minorHAnsi" w:cstheme="minorHAnsi"/>
              </w:rPr>
              <w:t xml:space="preserve"> </w:t>
            </w:r>
            <w:r w:rsidR="007A4C7C">
              <w:rPr>
                <w:rFonts w:asciiTheme="minorHAnsi" w:eastAsia="Times New Roman" w:hAnsiTheme="minorHAnsi" w:cstheme="minorHAnsi"/>
              </w:rPr>
              <w:t xml:space="preserve">             </w:t>
            </w:r>
            <w:r w:rsidRPr="008B5CE8">
              <w:rPr>
                <w:rFonts w:asciiTheme="minorHAnsi" w:eastAsia="Times New Roman" w:hAnsiTheme="minorHAnsi" w:cstheme="minorHAnsi"/>
              </w:rPr>
              <w:t>Child</w:t>
            </w:r>
            <w:r w:rsidR="007A4C7C">
              <w:rPr>
                <w:rFonts w:asciiTheme="minorHAnsi" w:eastAsia="Times New Roman" w:hAnsiTheme="minorHAnsi" w:cstheme="minorHAnsi"/>
              </w:rPr>
              <w:t>/ren</w:t>
            </w:r>
            <w:r w:rsidRPr="008B5CE8">
              <w:rPr>
                <w:rFonts w:asciiTheme="minorHAnsi" w:eastAsia="Times New Roman" w:hAnsiTheme="minorHAnsi" w:cstheme="minorHAnsi"/>
              </w:rPr>
              <w:t>: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5B" w:rsidRPr="008B5CE8" w:rsidRDefault="00CC1F5B" w:rsidP="001D040A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8B5CE8">
              <w:rPr>
                <w:rFonts w:asciiTheme="minorHAnsi" w:eastAsia="Times New Roman" w:hAnsiTheme="minorHAnsi" w:cstheme="minorHAnsi"/>
              </w:rPr>
              <w:t xml:space="preserve"> </w:t>
            </w:r>
            <w:r w:rsidR="007A4C7C">
              <w:rPr>
                <w:rFonts w:asciiTheme="minorHAnsi" w:eastAsia="Times New Roman" w:hAnsiTheme="minorHAnsi" w:cstheme="minorHAnsi"/>
              </w:rPr>
              <w:t xml:space="preserve">        $  </w:t>
            </w:r>
            <w:r w:rsidRPr="008B5CE8">
              <w:rPr>
                <w:rFonts w:asciiTheme="minorHAnsi" w:eastAsia="Times New Roman" w:hAnsiTheme="minorHAnsi" w:cstheme="minorHAnsi"/>
              </w:rPr>
              <w:t xml:space="preserve"> 5,000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5B" w:rsidRPr="008B5CE8" w:rsidRDefault="007A4C7C" w:rsidP="007A4C7C">
            <w:pPr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              $</w:t>
            </w:r>
            <w:r w:rsidR="00CC1F5B" w:rsidRPr="008B5CE8">
              <w:rPr>
                <w:rFonts w:asciiTheme="minorHAnsi" w:eastAsia="Times New Roman" w:hAnsiTheme="minorHAnsi" w:cstheme="minorHAnsi"/>
              </w:rPr>
              <w:t xml:space="preserve"> 1.00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5B" w:rsidRPr="008B5CE8" w:rsidRDefault="00CC1F5B" w:rsidP="001D040A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F4049F" w:rsidRPr="008B5CE8" w:rsidTr="001B0506">
        <w:trPr>
          <w:trHeight w:val="272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5B" w:rsidRPr="008B5CE8" w:rsidRDefault="00CC1F5B" w:rsidP="001D040A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8B5CE8">
              <w:rPr>
                <w:rFonts w:asciiTheme="minorHAnsi" w:eastAsia="Times New Roman" w:hAnsiTheme="minorHAnsi" w:cstheme="minorHAnsi"/>
              </w:rPr>
              <w:t xml:space="preserve"> </w:t>
            </w:r>
            <w:r w:rsidR="007A4C7C">
              <w:rPr>
                <w:rFonts w:asciiTheme="minorHAnsi" w:eastAsia="Times New Roman" w:hAnsiTheme="minorHAnsi" w:cstheme="minorHAnsi"/>
              </w:rPr>
              <w:t xml:space="preserve">             </w:t>
            </w:r>
            <w:r w:rsidRPr="008B5CE8">
              <w:rPr>
                <w:rFonts w:asciiTheme="minorHAnsi" w:eastAsia="Times New Roman" w:hAnsiTheme="minorHAnsi" w:cstheme="minorHAnsi"/>
              </w:rPr>
              <w:t>Child</w:t>
            </w:r>
            <w:r w:rsidR="007A4C7C">
              <w:rPr>
                <w:rFonts w:asciiTheme="minorHAnsi" w:eastAsia="Times New Roman" w:hAnsiTheme="minorHAnsi" w:cstheme="minorHAnsi"/>
              </w:rPr>
              <w:t>/ren</w:t>
            </w:r>
            <w:r w:rsidRPr="008B5CE8">
              <w:rPr>
                <w:rFonts w:asciiTheme="minorHAnsi" w:eastAsia="Times New Roman" w:hAnsiTheme="minorHAnsi" w:cstheme="minorHAnsi"/>
              </w:rPr>
              <w:t>: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5B" w:rsidRPr="008B5CE8" w:rsidRDefault="00CC1F5B" w:rsidP="007A4C7C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8B5CE8">
              <w:rPr>
                <w:rFonts w:asciiTheme="minorHAnsi" w:eastAsia="Times New Roman" w:hAnsiTheme="minorHAnsi" w:cstheme="minorHAnsi"/>
              </w:rPr>
              <w:t xml:space="preserve"> </w:t>
            </w:r>
            <w:r w:rsidR="007A4C7C">
              <w:rPr>
                <w:rFonts w:asciiTheme="minorHAnsi" w:eastAsia="Times New Roman" w:hAnsiTheme="minorHAnsi" w:cstheme="minorHAnsi"/>
              </w:rPr>
              <w:t xml:space="preserve">        $ </w:t>
            </w:r>
            <w:r w:rsidRPr="008B5CE8">
              <w:rPr>
                <w:rFonts w:asciiTheme="minorHAnsi" w:eastAsia="Times New Roman" w:hAnsiTheme="minorHAnsi" w:cstheme="minorHAnsi"/>
              </w:rPr>
              <w:t xml:space="preserve">10,000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5B" w:rsidRPr="008B5CE8" w:rsidRDefault="007A4C7C" w:rsidP="007A4C7C">
            <w:pPr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             </w:t>
            </w:r>
            <w:r w:rsidR="00CC1F5B" w:rsidRPr="008B5CE8">
              <w:rPr>
                <w:rFonts w:asciiTheme="minorHAnsi" w:eastAsia="Times New Roman" w:hAnsiTheme="minorHAnsi" w:cstheme="minorHAnsi"/>
              </w:rPr>
              <w:t xml:space="preserve"> $ 2.00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5B" w:rsidRPr="008B5CE8" w:rsidRDefault="00CC1F5B" w:rsidP="001D040A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F4049F" w:rsidRPr="008B5CE8" w:rsidTr="001B0506">
        <w:trPr>
          <w:trHeight w:val="272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5B" w:rsidRPr="008B5CE8" w:rsidRDefault="00CC1F5B" w:rsidP="001D040A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8B5CE8">
              <w:rPr>
                <w:rFonts w:asciiTheme="minorHAnsi" w:eastAsia="Times New Roman" w:hAnsiTheme="minorHAnsi" w:cstheme="minorHAnsi"/>
              </w:rPr>
              <w:t xml:space="preserve"> </w:t>
            </w:r>
            <w:r w:rsidR="007A4C7C">
              <w:rPr>
                <w:rFonts w:asciiTheme="minorHAnsi" w:eastAsia="Times New Roman" w:hAnsiTheme="minorHAnsi" w:cstheme="minorHAnsi"/>
              </w:rPr>
              <w:t xml:space="preserve">             </w:t>
            </w:r>
            <w:r w:rsidRPr="008B5CE8">
              <w:rPr>
                <w:rFonts w:asciiTheme="minorHAnsi" w:eastAsia="Times New Roman" w:hAnsiTheme="minorHAnsi" w:cstheme="minorHAnsi"/>
              </w:rPr>
              <w:t>Child</w:t>
            </w:r>
            <w:r w:rsidR="007A4C7C">
              <w:rPr>
                <w:rFonts w:asciiTheme="minorHAnsi" w:eastAsia="Times New Roman" w:hAnsiTheme="minorHAnsi" w:cstheme="minorHAnsi"/>
              </w:rPr>
              <w:t>/ren</w:t>
            </w:r>
            <w:r w:rsidRPr="008B5CE8">
              <w:rPr>
                <w:rFonts w:asciiTheme="minorHAnsi" w:eastAsia="Times New Roman" w:hAnsiTheme="minorHAnsi" w:cstheme="minorHAnsi"/>
              </w:rPr>
              <w:t>: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5B" w:rsidRPr="008B5CE8" w:rsidRDefault="007A4C7C" w:rsidP="001D040A">
            <w:pPr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         $</w:t>
            </w:r>
            <w:r w:rsidR="00CC1F5B" w:rsidRPr="008B5CE8">
              <w:rPr>
                <w:rFonts w:asciiTheme="minorHAnsi" w:eastAsia="Times New Roman" w:hAnsiTheme="minorHAnsi" w:cstheme="minorHAnsi"/>
              </w:rPr>
              <w:t xml:space="preserve"> 15,000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7C" w:rsidRPr="008B5CE8" w:rsidRDefault="007A4C7C" w:rsidP="007A4C7C">
            <w:pPr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             </w:t>
            </w:r>
            <w:r w:rsidR="00CC1F5B" w:rsidRPr="008B5CE8">
              <w:rPr>
                <w:rFonts w:asciiTheme="minorHAnsi" w:eastAsia="Times New Roman" w:hAnsiTheme="minorHAnsi" w:cstheme="minorHAnsi"/>
              </w:rPr>
              <w:t xml:space="preserve"> $ 3.00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5B" w:rsidRPr="008B5CE8" w:rsidRDefault="00CC1F5B" w:rsidP="001D040A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F4049F" w:rsidRPr="008B5CE8" w:rsidTr="001B0506">
        <w:trPr>
          <w:trHeight w:val="272"/>
        </w:trPr>
        <w:tc>
          <w:tcPr>
            <w:tcW w:w="7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7C" w:rsidRDefault="007A4C7C" w:rsidP="001D040A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  <w:p w:rsidR="00CC1F5B" w:rsidRPr="008B5CE8" w:rsidRDefault="00CC1F5B" w:rsidP="001D040A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8B5CE8">
              <w:rPr>
                <w:rFonts w:asciiTheme="minorHAnsi" w:eastAsia="Times New Roman" w:hAnsiTheme="minorHAnsi" w:cstheme="minorHAnsi"/>
              </w:rPr>
              <w:t>Flat dollar amount per month, per member electing the coverage, regardless of number of Children covered.</w:t>
            </w:r>
          </w:p>
        </w:tc>
      </w:tr>
      <w:tr w:rsidR="00F4049F" w:rsidRPr="008B5CE8" w:rsidTr="001B0506">
        <w:trPr>
          <w:trHeight w:val="171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C1F5B" w:rsidRPr="008B5CE8" w:rsidRDefault="00CC1F5B" w:rsidP="001D040A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8B5CE8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C1F5B" w:rsidRPr="008B5CE8" w:rsidRDefault="00CC1F5B" w:rsidP="001D040A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8B5CE8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C1F5B" w:rsidRPr="008B5CE8" w:rsidRDefault="00CC1F5B" w:rsidP="001D040A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8B5CE8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C1F5B" w:rsidRPr="008B5CE8" w:rsidRDefault="00CC1F5B" w:rsidP="001D040A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8B5CE8">
              <w:rPr>
                <w:rFonts w:asciiTheme="minorHAnsi" w:eastAsia="Times New Roman" w:hAnsiTheme="minorHAnsi" w:cstheme="minorHAnsi"/>
              </w:rPr>
              <w:t> </w:t>
            </w:r>
          </w:p>
        </w:tc>
      </w:tr>
    </w:tbl>
    <w:p w:rsidR="007A4C7C" w:rsidRDefault="007A4C7C" w:rsidP="00532F55">
      <w:pPr>
        <w:tabs>
          <w:tab w:val="left" w:pos="720"/>
        </w:tabs>
        <w:ind w:left="180"/>
        <w:jc w:val="both"/>
        <w:rPr>
          <w:rFonts w:asciiTheme="minorHAnsi" w:hAnsiTheme="minorHAnsi" w:cstheme="minorHAnsi"/>
          <w:b/>
        </w:rPr>
      </w:pPr>
    </w:p>
    <w:p w:rsidR="001266DE" w:rsidRDefault="001266DE" w:rsidP="00532F55">
      <w:pPr>
        <w:tabs>
          <w:tab w:val="left" w:pos="720"/>
        </w:tabs>
        <w:ind w:left="180"/>
        <w:jc w:val="both"/>
        <w:rPr>
          <w:rFonts w:asciiTheme="minorHAnsi" w:hAnsiTheme="minorHAnsi" w:cstheme="minorHAnsi"/>
          <w:b/>
        </w:rPr>
      </w:pPr>
    </w:p>
    <w:p w:rsidR="00B32AE7" w:rsidRDefault="00DA456E" w:rsidP="00532F55">
      <w:pPr>
        <w:ind w:left="547" w:hanging="547"/>
        <w:jc w:val="both"/>
        <w:rPr>
          <w:rFonts w:asciiTheme="minorHAnsi" w:hAnsiTheme="minorHAnsi" w:cstheme="minorHAnsi"/>
        </w:rPr>
      </w:pPr>
      <w:r w:rsidRPr="008B5CE8">
        <w:rPr>
          <w:rFonts w:asciiTheme="minorHAnsi" w:hAnsiTheme="minorHAnsi" w:cstheme="minorHAnsi"/>
          <w:b/>
        </w:rPr>
        <w:t>Q:</w:t>
      </w:r>
      <w:r w:rsidRPr="008B5CE8">
        <w:rPr>
          <w:rFonts w:asciiTheme="minorHAnsi" w:hAnsiTheme="minorHAnsi" w:cstheme="minorHAnsi"/>
        </w:rPr>
        <w:t xml:space="preserve">  </w:t>
      </w:r>
      <w:r w:rsidR="005A4BF8" w:rsidRPr="008B5CE8">
        <w:rPr>
          <w:rFonts w:asciiTheme="minorHAnsi" w:hAnsiTheme="minorHAnsi" w:cstheme="minorHAnsi"/>
        </w:rPr>
        <w:tab/>
      </w:r>
      <w:r w:rsidRPr="008B5CE8">
        <w:rPr>
          <w:rFonts w:asciiTheme="minorHAnsi" w:hAnsiTheme="minorHAnsi" w:cstheme="minorHAnsi"/>
        </w:rPr>
        <w:t>What if I already paid Securian/Minnesota</w:t>
      </w:r>
      <w:r w:rsidR="008B4BC4" w:rsidRPr="008B5CE8">
        <w:rPr>
          <w:rFonts w:asciiTheme="minorHAnsi" w:hAnsiTheme="minorHAnsi" w:cstheme="minorHAnsi"/>
        </w:rPr>
        <w:t xml:space="preserve"> Life</w:t>
      </w:r>
      <w:r w:rsidRPr="008B5CE8">
        <w:rPr>
          <w:rFonts w:asciiTheme="minorHAnsi" w:hAnsiTheme="minorHAnsi" w:cstheme="minorHAnsi"/>
        </w:rPr>
        <w:t xml:space="preserve"> for coverage passed </w:t>
      </w:r>
      <w:r w:rsidR="007A4C7C">
        <w:rPr>
          <w:rFonts w:asciiTheme="minorHAnsi" w:hAnsiTheme="minorHAnsi" w:cstheme="minorHAnsi"/>
        </w:rPr>
        <w:t>June 30th</w:t>
      </w:r>
      <w:r w:rsidR="00B32AE7">
        <w:rPr>
          <w:rFonts w:asciiTheme="minorHAnsi" w:hAnsiTheme="minorHAnsi" w:cstheme="minorHAnsi"/>
        </w:rPr>
        <w:t>.</w:t>
      </w:r>
    </w:p>
    <w:p w:rsidR="001266DE" w:rsidRDefault="00DA456E" w:rsidP="00532F55">
      <w:pPr>
        <w:ind w:left="547" w:hanging="547"/>
        <w:jc w:val="both"/>
        <w:rPr>
          <w:rFonts w:asciiTheme="minorHAnsi" w:hAnsiTheme="minorHAnsi" w:cstheme="minorHAnsi"/>
        </w:rPr>
      </w:pPr>
      <w:r w:rsidRPr="008B5CE8">
        <w:rPr>
          <w:rFonts w:asciiTheme="minorHAnsi" w:hAnsiTheme="minorHAnsi" w:cstheme="minorHAnsi"/>
          <w:b/>
        </w:rPr>
        <w:t>A:</w:t>
      </w:r>
      <w:r w:rsidRPr="008B5CE8">
        <w:rPr>
          <w:rFonts w:asciiTheme="minorHAnsi" w:hAnsiTheme="minorHAnsi" w:cstheme="minorHAnsi"/>
        </w:rPr>
        <w:t xml:space="preserve">  </w:t>
      </w:r>
      <w:r w:rsidR="005A4BF8" w:rsidRPr="008B5CE8">
        <w:rPr>
          <w:rFonts w:asciiTheme="minorHAnsi" w:hAnsiTheme="minorHAnsi" w:cstheme="minorHAnsi"/>
        </w:rPr>
        <w:tab/>
      </w:r>
      <w:r w:rsidR="008B4BC4" w:rsidRPr="008B5CE8">
        <w:rPr>
          <w:rFonts w:asciiTheme="minorHAnsi" w:hAnsiTheme="minorHAnsi" w:cstheme="minorHAnsi"/>
        </w:rPr>
        <w:t xml:space="preserve">Any payments made to </w:t>
      </w:r>
      <w:r w:rsidRPr="008B5CE8">
        <w:rPr>
          <w:rFonts w:asciiTheme="minorHAnsi" w:hAnsiTheme="minorHAnsi" w:cstheme="minorHAnsi"/>
        </w:rPr>
        <w:t>Securian/Minnesota</w:t>
      </w:r>
      <w:r w:rsidR="008B4BC4" w:rsidRPr="008B5CE8">
        <w:rPr>
          <w:rFonts w:asciiTheme="minorHAnsi" w:hAnsiTheme="minorHAnsi" w:cstheme="minorHAnsi"/>
        </w:rPr>
        <w:t xml:space="preserve"> Life</w:t>
      </w:r>
      <w:r w:rsidRPr="008B5CE8">
        <w:rPr>
          <w:rFonts w:asciiTheme="minorHAnsi" w:hAnsiTheme="minorHAnsi" w:cstheme="minorHAnsi"/>
        </w:rPr>
        <w:t xml:space="preserve"> </w:t>
      </w:r>
      <w:r w:rsidR="008B4BC4" w:rsidRPr="008B5CE8">
        <w:rPr>
          <w:rFonts w:asciiTheme="minorHAnsi" w:hAnsiTheme="minorHAnsi" w:cstheme="minorHAnsi"/>
        </w:rPr>
        <w:t xml:space="preserve">for premiums past June, 2019 </w:t>
      </w:r>
      <w:r w:rsidRPr="008B5CE8">
        <w:rPr>
          <w:rFonts w:asciiTheme="minorHAnsi" w:hAnsiTheme="minorHAnsi" w:cstheme="minorHAnsi"/>
        </w:rPr>
        <w:t>will be refund</w:t>
      </w:r>
      <w:r w:rsidR="008B4BC4" w:rsidRPr="008B5CE8">
        <w:rPr>
          <w:rFonts w:asciiTheme="minorHAnsi" w:hAnsiTheme="minorHAnsi" w:cstheme="minorHAnsi"/>
        </w:rPr>
        <w:t xml:space="preserve">ed </w:t>
      </w:r>
      <w:r w:rsidR="00497210" w:rsidRPr="008B5CE8">
        <w:rPr>
          <w:rFonts w:asciiTheme="minorHAnsi" w:hAnsiTheme="minorHAnsi" w:cstheme="minorHAnsi"/>
        </w:rPr>
        <w:t>back to</w:t>
      </w:r>
      <w:r w:rsidR="008B4BC4" w:rsidRPr="008B5CE8">
        <w:rPr>
          <w:rFonts w:asciiTheme="minorHAnsi" w:hAnsiTheme="minorHAnsi" w:cstheme="minorHAnsi"/>
        </w:rPr>
        <w:t xml:space="preserve"> the member. Please contact Securian/Minnesota Life with any questions regarding this process.</w:t>
      </w:r>
    </w:p>
    <w:p w:rsidR="001266DE" w:rsidRDefault="001266DE" w:rsidP="00532F55">
      <w:pPr>
        <w:ind w:left="547" w:hanging="547"/>
        <w:jc w:val="both"/>
        <w:rPr>
          <w:rFonts w:asciiTheme="minorHAnsi" w:hAnsiTheme="minorHAnsi" w:cstheme="minorHAnsi"/>
          <w:b/>
        </w:rPr>
      </w:pPr>
    </w:p>
    <w:p w:rsidR="00BD0E32" w:rsidRPr="008B5CE8" w:rsidRDefault="00F45675" w:rsidP="00532F55">
      <w:pPr>
        <w:tabs>
          <w:tab w:val="left" w:pos="720"/>
        </w:tabs>
        <w:ind w:left="540" w:hanging="540"/>
        <w:jc w:val="both"/>
        <w:rPr>
          <w:rFonts w:asciiTheme="minorHAnsi" w:hAnsiTheme="minorHAnsi" w:cstheme="minorHAnsi"/>
        </w:rPr>
      </w:pPr>
      <w:r w:rsidRPr="008B5CE8">
        <w:rPr>
          <w:rFonts w:asciiTheme="minorHAnsi" w:hAnsiTheme="minorHAnsi" w:cstheme="minorHAnsi"/>
          <w:b/>
        </w:rPr>
        <w:t xml:space="preserve">Q: </w:t>
      </w:r>
      <w:r w:rsidR="005A4BF8" w:rsidRPr="008B5CE8">
        <w:rPr>
          <w:rFonts w:asciiTheme="minorHAnsi" w:hAnsiTheme="minorHAnsi" w:cstheme="minorHAnsi"/>
          <w:b/>
        </w:rPr>
        <w:tab/>
      </w:r>
      <w:r w:rsidRPr="008B5CE8">
        <w:rPr>
          <w:rFonts w:asciiTheme="minorHAnsi" w:hAnsiTheme="minorHAnsi" w:cstheme="minorHAnsi"/>
        </w:rPr>
        <w:t xml:space="preserve">Do </w:t>
      </w:r>
      <w:r w:rsidR="00BD0E32" w:rsidRPr="008B5CE8">
        <w:rPr>
          <w:rFonts w:asciiTheme="minorHAnsi" w:hAnsiTheme="minorHAnsi" w:cstheme="minorHAnsi"/>
        </w:rPr>
        <w:t>employees</w:t>
      </w:r>
      <w:r w:rsidRPr="008B5CE8">
        <w:rPr>
          <w:rFonts w:asciiTheme="minorHAnsi" w:hAnsiTheme="minorHAnsi" w:cstheme="minorHAnsi"/>
        </w:rPr>
        <w:t xml:space="preserve"> need to complete a new Benefit</w:t>
      </w:r>
      <w:r w:rsidR="00BD0E32" w:rsidRPr="008B5CE8">
        <w:rPr>
          <w:rFonts w:asciiTheme="minorHAnsi" w:hAnsiTheme="minorHAnsi" w:cstheme="minorHAnsi"/>
        </w:rPr>
        <w:t xml:space="preserve"> Acknowledgment </w:t>
      </w:r>
      <w:r w:rsidRPr="008B5CE8">
        <w:rPr>
          <w:rFonts w:asciiTheme="minorHAnsi" w:hAnsiTheme="minorHAnsi" w:cstheme="minorHAnsi"/>
        </w:rPr>
        <w:t>Form?</w:t>
      </w:r>
      <w:r w:rsidR="00BD0E32" w:rsidRPr="008B5CE8">
        <w:rPr>
          <w:rFonts w:asciiTheme="minorHAnsi" w:hAnsiTheme="minorHAnsi" w:cstheme="minorHAnsi"/>
        </w:rPr>
        <w:t xml:space="preserve"> And if so, where do we submit them?</w:t>
      </w:r>
      <w:r w:rsidR="00B3589C" w:rsidRPr="008B5CE8">
        <w:rPr>
          <w:rFonts w:asciiTheme="minorHAnsi" w:hAnsiTheme="minorHAnsi" w:cstheme="minorHAnsi"/>
        </w:rPr>
        <w:t xml:space="preserve">       </w:t>
      </w:r>
    </w:p>
    <w:p w:rsidR="00B32AE7" w:rsidRDefault="00BD0E32" w:rsidP="00532F55">
      <w:pPr>
        <w:tabs>
          <w:tab w:val="left" w:pos="720"/>
        </w:tabs>
        <w:ind w:left="540" w:hanging="540"/>
        <w:jc w:val="both"/>
        <w:rPr>
          <w:rFonts w:asciiTheme="minorHAnsi" w:hAnsiTheme="minorHAnsi" w:cstheme="minorHAnsi"/>
        </w:rPr>
      </w:pPr>
      <w:r w:rsidRPr="008B5CE8">
        <w:rPr>
          <w:rFonts w:asciiTheme="minorHAnsi" w:hAnsiTheme="minorHAnsi" w:cstheme="minorHAnsi"/>
          <w:b/>
        </w:rPr>
        <w:lastRenderedPageBreak/>
        <w:t>A:</w:t>
      </w:r>
      <w:r w:rsidR="005A4BF8" w:rsidRPr="008B5CE8">
        <w:rPr>
          <w:rFonts w:asciiTheme="minorHAnsi" w:hAnsiTheme="minorHAnsi" w:cstheme="minorHAnsi"/>
          <w:b/>
        </w:rPr>
        <w:tab/>
      </w:r>
      <w:r w:rsidR="007A4C7C" w:rsidRPr="007A4C7C">
        <w:rPr>
          <w:rFonts w:asciiTheme="minorHAnsi" w:hAnsiTheme="minorHAnsi" w:cstheme="minorHAnsi"/>
        </w:rPr>
        <w:t>All New Hires are required to complete the Benefit</w:t>
      </w:r>
      <w:r w:rsidR="00F775EB">
        <w:rPr>
          <w:rFonts w:asciiTheme="minorHAnsi" w:hAnsiTheme="minorHAnsi" w:cstheme="minorHAnsi"/>
        </w:rPr>
        <w:t>s</w:t>
      </w:r>
      <w:r w:rsidR="007A4C7C" w:rsidRPr="007A4C7C">
        <w:rPr>
          <w:rFonts w:asciiTheme="minorHAnsi" w:hAnsiTheme="minorHAnsi" w:cstheme="minorHAnsi"/>
        </w:rPr>
        <w:t xml:space="preserve"> Acknowledgement Form.</w:t>
      </w:r>
      <w:r w:rsidR="007A4C7C">
        <w:rPr>
          <w:rFonts w:asciiTheme="minorHAnsi" w:hAnsiTheme="minorHAnsi" w:cstheme="minorHAnsi"/>
          <w:b/>
        </w:rPr>
        <w:t xml:space="preserve"> </w:t>
      </w:r>
      <w:r w:rsidR="007A4C7C" w:rsidRPr="006123E7">
        <w:rPr>
          <w:rFonts w:asciiTheme="minorHAnsi" w:hAnsiTheme="minorHAnsi" w:cstheme="minorHAnsi"/>
        </w:rPr>
        <w:t>Th</w:t>
      </w:r>
      <w:r w:rsidR="004B68E1">
        <w:rPr>
          <w:rFonts w:asciiTheme="minorHAnsi" w:hAnsiTheme="minorHAnsi" w:cstheme="minorHAnsi"/>
        </w:rPr>
        <w:t>is f</w:t>
      </w:r>
      <w:r w:rsidR="007A4C7C" w:rsidRPr="006123E7">
        <w:rPr>
          <w:rFonts w:asciiTheme="minorHAnsi" w:hAnsiTheme="minorHAnsi" w:cstheme="minorHAnsi"/>
        </w:rPr>
        <w:t xml:space="preserve">orm should be reviewed with </w:t>
      </w:r>
      <w:r w:rsidR="006123E7" w:rsidRPr="006123E7">
        <w:rPr>
          <w:rFonts w:asciiTheme="minorHAnsi" w:hAnsiTheme="minorHAnsi" w:cstheme="minorHAnsi"/>
        </w:rPr>
        <w:t xml:space="preserve">an HR staff member and signed by both parties. The original should remain in the personnel file with a copy </w:t>
      </w:r>
      <w:r w:rsidR="004B68E1">
        <w:rPr>
          <w:rFonts w:asciiTheme="minorHAnsi" w:hAnsiTheme="minorHAnsi" w:cstheme="minorHAnsi"/>
        </w:rPr>
        <w:t xml:space="preserve">given </w:t>
      </w:r>
      <w:r w:rsidR="006123E7" w:rsidRPr="006123E7">
        <w:rPr>
          <w:rFonts w:asciiTheme="minorHAnsi" w:hAnsiTheme="minorHAnsi" w:cstheme="minorHAnsi"/>
        </w:rPr>
        <w:t>to the employee</w:t>
      </w:r>
      <w:r w:rsidR="004B68E1">
        <w:rPr>
          <w:rFonts w:asciiTheme="minorHAnsi" w:hAnsiTheme="minorHAnsi" w:cstheme="minorHAnsi"/>
        </w:rPr>
        <w:t>,</w:t>
      </w:r>
      <w:r w:rsidR="006123E7" w:rsidRPr="006123E7">
        <w:rPr>
          <w:rFonts w:asciiTheme="minorHAnsi" w:hAnsiTheme="minorHAnsi" w:cstheme="minorHAnsi"/>
        </w:rPr>
        <w:t xml:space="preserve"> and one faxed to Er</w:t>
      </w:r>
      <w:r w:rsidR="001B0506">
        <w:rPr>
          <w:rFonts w:asciiTheme="minorHAnsi" w:hAnsiTheme="minorHAnsi" w:cstheme="minorHAnsi"/>
        </w:rPr>
        <w:t>isa</w:t>
      </w:r>
      <w:r w:rsidR="006123E7" w:rsidRPr="006123E7">
        <w:rPr>
          <w:rFonts w:asciiTheme="minorHAnsi" w:hAnsiTheme="minorHAnsi" w:cstheme="minorHAnsi"/>
        </w:rPr>
        <w:t>, the</w:t>
      </w:r>
      <w:r w:rsidR="001B0506">
        <w:rPr>
          <w:rFonts w:asciiTheme="minorHAnsi" w:hAnsiTheme="minorHAnsi" w:cstheme="minorHAnsi"/>
        </w:rPr>
        <w:t xml:space="preserve"> SoNM’s </w:t>
      </w:r>
      <w:r w:rsidR="006123E7" w:rsidRPr="006123E7">
        <w:rPr>
          <w:rFonts w:asciiTheme="minorHAnsi" w:hAnsiTheme="minorHAnsi" w:cstheme="minorHAnsi"/>
        </w:rPr>
        <w:t>Third Party Administrator</w:t>
      </w:r>
      <w:r w:rsidR="004B68E1">
        <w:rPr>
          <w:rFonts w:asciiTheme="minorHAnsi" w:hAnsiTheme="minorHAnsi" w:cstheme="minorHAnsi"/>
        </w:rPr>
        <w:t xml:space="preserve"> at</w:t>
      </w:r>
      <w:r w:rsidR="006123E7">
        <w:rPr>
          <w:rFonts w:asciiTheme="minorHAnsi" w:hAnsiTheme="minorHAnsi" w:cstheme="minorHAnsi"/>
        </w:rPr>
        <w:t xml:space="preserve">: </w:t>
      </w:r>
      <w:r w:rsidR="006123E7" w:rsidRPr="006123E7">
        <w:rPr>
          <w:rFonts w:asciiTheme="minorHAnsi" w:hAnsiTheme="minorHAnsi" w:cstheme="minorHAnsi"/>
        </w:rPr>
        <w:t xml:space="preserve"> 505-244-6009.</w:t>
      </w:r>
      <w:r w:rsidRPr="008B5CE8">
        <w:rPr>
          <w:rFonts w:asciiTheme="minorHAnsi" w:hAnsiTheme="minorHAnsi" w:cstheme="minorHAnsi"/>
        </w:rPr>
        <w:t xml:space="preserve"> </w:t>
      </w:r>
      <w:r w:rsidR="00627E4F">
        <w:rPr>
          <w:rFonts w:asciiTheme="minorHAnsi" w:hAnsiTheme="minorHAnsi" w:cstheme="minorHAnsi"/>
        </w:rPr>
        <w:t xml:space="preserve">The </w:t>
      </w:r>
      <w:r w:rsidR="004B68E1">
        <w:rPr>
          <w:rFonts w:asciiTheme="minorHAnsi" w:hAnsiTheme="minorHAnsi" w:cstheme="minorHAnsi"/>
        </w:rPr>
        <w:t>updated</w:t>
      </w:r>
      <w:r w:rsidR="00627E4F">
        <w:rPr>
          <w:rFonts w:asciiTheme="minorHAnsi" w:hAnsiTheme="minorHAnsi" w:cstheme="minorHAnsi"/>
        </w:rPr>
        <w:t xml:space="preserve"> Benefits Acknowledgement Form can be found at:</w:t>
      </w:r>
    </w:p>
    <w:p w:rsidR="00627E4F" w:rsidRDefault="00627E4F" w:rsidP="00532F55">
      <w:pPr>
        <w:tabs>
          <w:tab w:val="left" w:pos="720"/>
        </w:tabs>
        <w:ind w:left="540" w:hanging="5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hyperlink r:id="rId8" w:history="1">
        <w:r w:rsidR="007768F0" w:rsidRPr="0057464D">
          <w:rPr>
            <w:rStyle w:val="Hyperlink"/>
            <w:rFonts w:asciiTheme="minorHAnsi" w:hAnsiTheme="minorHAnsi" w:cstheme="minorHAnsi"/>
          </w:rPr>
          <w:t>http://mybenefitsnm.com/documents/Benefits_Eligibility_Acknowledgement_July2019-FINAL.pdf</w:t>
        </w:r>
      </w:hyperlink>
    </w:p>
    <w:p w:rsidR="00B32AE7" w:rsidRDefault="00B32AE7" w:rsidP="00532F55">
      <w:pPr>
        <w:tabs>
          <w:tab w:val="left" w:pos="720"/>
        </w:tabs>
        <w:ind w:left="360" w:hanging="360"/>
        <w:jc w:val="both"/>
        <w:rPr>
          <w:rFonts w:asciiTheme="minorHAnsi" w:hAnsiTheme="minorHAnsi" w:cstheme="minorHAnsi"/>
          <w:b/>
        </w:rPr>
      </w:pPr>
    </w:p>
    <w:p w:rsidR="00B32AE7" w:rsidRDefault="00F4049F" w:rsidP="00532F55">
      <w:pPr>
        <w:tabs>
          <w:tab w:val="left" w:pos="720"/>
        </w:tabs>
        <w:ind w:left="540" w:hanging="540"/>
        <w:jc w:val="both"/>
        <w:rPr>
          <w:rFonts w:asciiTheme="minorHAnsi" w:hAnsiTheme="minorHAnsi" w:cstheme="minorHAnsi"/>
        </w:rPr>
      </w:pPr>
      <w:r w:rsidRPr="008B5CE8">
        <w:rPr>
          <w:rFonts w:asciiTheme="minorHAnsi" w:hAnsiTheme="minorHAnsi" w:cstheme="minorHAnsi"/>
          <w:b/>
        </w:rPr>
        <w:t xml:space="preserve">Q:  </w:t>
      </w:r>
      <w:r w:rsidR="005A4BF8" w:rsidRPr="008B5CE8">
        <w:rPr>
          <w:rFonts w:asciiTheme="minorHAnsi" w:hAnsiTheme="minorHAnsi" w:cstheme="minorHAnsi"/>
          <w:b/>
        </w:rPr>
        <w:tab/>
      </w:r>
      <w:r w:rsidRPr="008B5CE8">
        <w:rPr>
          <w:rFonts w:asciiTheme="minorHAnsi" w:hAnsiTheme="minorHAnsi" w:cstheme="minorHAnsi"/>
        </w:rPr>
        <w:t>Does the Supplemental Life coverage expire at age 75?</w:t>
      </w:r>
      <w:r w:rsidR="00B3589C" w:rsidRPr="008B5CE8">
        <w:rPr>
          <w:rFonts w:asciiTheme="minorHAnsi" w:hAnsiTheme="minorHAnsi" w:cstheme="minorHAnsi"/>
        </w:rPr>
        <w:t xml:space="preserve"> </w:t>
      </w:r>
    </w:p>
    <w:p w:rsidR="00B32AE7" w:rsidRDefault="00F4049F" w:rsidP="00532F55">
      <w:pPr>
        <w:tabs>
          <w:tab w:val="left" w:pos="720"/>
        </w:tabs>
        <w:ind w:left="540" w:hanging="540"/>
        <w:jc w:val="both"/>
        <w:rPr>
          <w:rFonts w:asciiTheme="minorHAnsi" w:hAnsiTheme="minorHAnsi" w:cstheme="minorHAnsi"/>
        </w:rPr>
      </w:pPr>
      <w:r w:rsidRPr="008B5CE8">
        <w:rPr>
          <w:rFonts w:asciiTheme="minorHAnsi" w:hAnsiTheme="minorHAnsi" w:cstheme="minorHAnsi"/>
          <w:b/>
        </w:rPr>
        <w:t>A:</w:t>
      </w:r>
      <w:r w:rsidR="004F1656" w:rsidRPr="008B5CE8">
        <w:rPr>
          <w:rFonts w:asciiTheme="minorHAnsi" w:hAnsiTheme="minorHAnsi" w:cstheme="minorHAnsi"/>
        </w:rPr>
        <w:t xml:space="preserve"> </w:t>
      </w:r>
      <w:r w:rsidR="005A4BF8" w:rsidRPr="008B5CE8">
        <w:rPr>
          <w:rFonts w:asciiTheme="minorHAnsi" w:hAnsiTheme="minorHAnsi" w:cstheme="minorHAnsi"/>
        </w:rPr>
        <w:tab/>
      </w:r>
      <w:r w:rsidR="004F1656" w:rsidRPr="008B5CE8">
        <w:rPr>
          <w:rFonts w:asciiTheme="minorHAnsi" w:hAnsiTheme="minorHAnsi" w:cstheme="minorHAnsi"/>
        </w:rPr>
        <w:t xml:space="preserve">There is no age limit for eligible </w:t>
      </w:r>
      <w:r w:rsidR="00A3640D" w:rsidRPr="008B5CE8">
        <w:rPr>
          <w:rFonts w:asciiTheme="minorHAnsi" w:hAnsiTheme="minorHAnsi" w:cstheme="minorHAnsi"/>
        </w:rPr>
        <w:t xml:space="preserve">employees. Also, as </w:t>
      </w:r>
      <w:r w:rsidR="004F1656" w:rsidRPr="008B5CE8">
        <w:rPr>
          <w:rFonts w:asciiTheme="minorHAnsi" w:hAnsiTheme="minorHAnsi" w:cstheme="minorHAnsi"/>
        </w:rPr>
        <w:t xml:space="preserve">there is no age reduction for either basic or </w:t>
      </w:r>
      <w:r w:rsidR="00A3640D" w:rsidRPr="008B5CE8">
        <w:rPr>
          <w:rFonts w:asciiTheme="minorHAnsi" w:hAnsiTheme="minorHAnsi" w:cstheme="minorHAnsi"/>
        </w:rPr>
        <w:t xml:space="preserve">supplemental </w:t>
      </w:r>
      <w:r w:rsidR="004F1656" w:rsidRPr="008B5CE8">
        <w:rPr>
          <w:rFonts w:asciiTheme="minorHAnsi" w:hAnsiTheme="minorHAnsi" w:cstheme="minorHAnsi"/>
        </w:rPr>
        <w:t>life</w:t>
      </w:r>
      <w:r w:rsidR="00A3640D" w:rsidRPr="008B5CE8">
        <w:rPr>
          <w:rFonts w:asciiTheme="minorHAnsi" w:hAnsiTheme="minorHAnsi" w:cstheme="minorHAnsi"/>
        </w:rPr>
        <w:t xml:space="preserve"> coverages</w:t>
      </w:r>
      <w:r w:rsidR="004F1656" w:rsidRPr="008B5CE8">
        <w:rPr>
          <w:rFonts w:asciiTheme="minorHAnsi" w:hAnsiTheme="minorHAnsi" w:cstheme="minorHAnsi"/>
        </w:rPr>
        <w:t>,</w:t>
      </w:r>
      <w:r w:rsidR="00A3640D" w:rsidRPr="008B5CE8">
        <w:rPr>
          <w:rFonts w:asciiTheme="minorHAnsi" w:hAnsiTheme="minorHAnsi" w:cstheme="minorHAnsi"/>
        </w:rPr>
        <w:t xml:space="preserve"> </w:t>
      </w:r>
      <w:r w:rsidR="004F1656" w:rsidRPr="008B5CE8">
        <w:rPr>
          <w:rFonts w:asciiTheme="minorHAnsi" w:hAnsiTheme="minorHAnsi" w:cstheme="minorHAnsi"/>
        </w:rPr>
        <w:t xml:space="preserve">the benefit </w:t>
      </w:r>
      <w:r w:rsidR="00A3640D" w:rsidRPr="008B5CE8">
        <w:rPr>
          <w:rFonts w:asciiTheme="minorHAnsi" w:hAnsiTheme="minorHAnsi" w:cstheme="minorHAnsi"/>
        </w:rPr>
        <w:t xml:space="preserve">will </w:t>
      </w:r>
      <w:r w:rsidR="004F1656" w:rsidRPr="008B5CE8">
        <w:rPr>
          <w:rFonts w:asciiTheme="minorHAnsi" w:hAnsiTheme="minorHAnsi" w:cstheme="minorHAnsi"/>
        </w:rPr>
        <w:t>not</w:t>
      </w:r>
      <w:r w:rsidR="00A3640D" w:rsidRPr="008B5CE8">
        <w:rPr>
          <w:rFonts w:asciiTheme="minorHAnsi" w:hAnsiTheme="minorHAnsi" w:cstheme="minorHAnsi"/>
        </w:rPr>
        <w:t xml:space="preserve"> be</w:t>
      </w:r>
      <w:r w:rsidR="004F1656" w:rsidRPr="008B5CE8">
        <w:rPr>
          <w:rFonts w:asciiTheme="minorHAnsi" w:hAnsiTheme="minorHAnsi" w:cstheme="minorHAnsi"/>
        </w:rPr>
        <w:t xml:space="preserve"> reduced as an employee ages.</w:t>
      </w:r>
      <w:r w:rsidR="00B3589C" w:rsidRPr="008B5CE8">
        <w:rPr>
          <w:rFonts w:asciiTheme="minorHAnsi" w:hAnsiTheme="minorHAnsi" w:cstheme="minorHAnsi"/>
        </w:rPr>
        <w:t xml:space="preserve">  </w:t>
      </w:r>
    </w:p>
    <w:p w:rsidR="007768F0" w:rsidRDefault="007768F0" w:rsidP="00532F55">
      <w:pPr>
        <w:tabs>
          <w:tab w:val="left" w:pos="720"/>
        </w:tabs>
        <w:ind w:left="540" w:hanging="540"/>
        <w:jc w:val="both"/>
        <w:rPr>
          <w:rFonts w:asciiTheme="minorHAnsi" w:hAnsiTheme="minorHAnsi" w:cstheme="minorHAnsi"/>
        </w:rPr>
      </w:pPr>
    </w:p>
    <w:p w:rsidR="00B32AE7" w:rsidRDefault="00B32AE7" w:rsidP="00532F55">
      <w:pPr>
        <w:tabs>
          <w:tab w:val="left" w:pos="720"/>
        </w:tabs>
        <w:ind w:left="540" w:hanging="540"/>
        <w:jc w:val="both"/>
        <w:rPr>
          <w:rFonts w:asciiTheme="minorHAnsi" w:hAnsiTheme="minorHAnsi" w:cstheme="minorHAnsi"/>
          <w:b/>
        </w:rPr>
      </w:pPr>
    </w:p>
    <w:p w:rsidR="00B32AE7" w:rsidRDefault="00F4049F" w:rsidP="00532F55">
      <w:pPr>
        <w:tabs>
          <w:tab w:val="left" w:pos="720"/>
        </w:tabs>
        <w:ind w:left="540" w:hanging="540"/>
        <w:jc w:val="both"/>
        <w:rPr>
          <w:rFonts w:asciiTheme="minorHAnsi" w:hAnsiTheme="minorHAnsi" w:cstheme="minorHAnsi"/>
        </w:rPr>
      </w:pPr>
      <w:r w:rsidRPr="008B5CE8">
        <w:rPr>
          <w:rFonts w:asciiTheme="minorHAnsi" w:hAnsiTheme="minorHAnsi" w:cstheme="minorHAnsi"/>
          <w:b/>
        </w:rPr>
        <w:t xml:space="preserve">Q:  </w:t>
      </w:r>
      <w:r w:rsidR="005A4BF8" w:rsidRPr="008B5CE8">
        <w:rPr>
          <w:rFonts w:asciiTheme="minorHAnsi" w:hAnsiTheme="minorHAnsi" w:cstheme="minorHAnsi"/>
          <w:b/>
        </w:rPr>
        <w:tab/>
      </w:r>
      <w:r w:rsidRPr="008B5CE8">
        <w:rPr>
          <w:rFonts w:asciiTheme="minorHAnsi" w:hAnsiTheme="minorHAnsi" w:cstheme="minorHAnsi"/>
        </w:rPr>
        <w:t xml:space="preserve">If enrolling </w:t>
      </w:r>
      <w:r w:rsidR="00B513FC" w:rsidRPr="008B5CE8">
        <w:rPr>
          <w:rFonts w:asciiTheme="minorHAnsi" w:hAnsiTheme="minorHAnsi" w:cstheme="minorHAnsi"/>
        </w:rPr>
        <w:t xml:space="preserve">in life coverage during the Special Open </w:t>
      </w:r>
      <w:r w:rsidR="006123E7">
        <w:rPr>
          <w:rFonts w:asciiTheme="minorHAnsi" w:hAnsiTheme="minorHAnsi" w:cstheme="minorHAnsi"/>
        </w:rPr>
        <w:t>Enrollment (August -</w:t>
      </w:r>
      <w:r w:rsidR="00B513FC" w:rsidRPr="008B5CE8">
        <w:rPr>
          <w:rFonts w:asciiTheme="minorHAnsi" w:hAnsiTheme="minorHAnsi" w:cstheme="minorHAnsi"/>
        </w:rPr>
        <w:t xml:space="preserve"> November </w:t>
      </w:r>
      <w:r w:rsidR="006123E7">
        <w:rPr>
          <w:rFonts w:asciiTheme="minorHAnsi" w:hAnsiTheme="minorHAnsi" w:cstheme="minorHAnsi"/>
        </w:rPr>
        <w:t>20</w:t>
      </w:r>
      <w:r w:rsidR="00B513FC" w:rsidRPr="008B5CE8">
        <w:rPr>
          <w:rFonts w:asciiTheme="minorHAnsi" w:hAnsiTheme="minorHAnsi" w:cstheme="minorHAnsi"/>
        </w:rPr>
        <w:t>19), when d</w:t>
      </w:r>
      <w:r w:rsidR="00B32AE7">
        <w:rPr>
          <w:rFonts w:asciiTheme="minorHAnsi" w:hAnsiTheme="minorHAnsi" w:cstheme="minorHAnsi"/>
        </w:rPr>
        <w:t>oes the coverage go into effect?</w:t>
      </w:r>
    </w:p>
    <w:p w:rsidR="00DA456E" w:rsidRDefault="00F4049F" w:rsidP="00532F55">
      <w:pPr>
        <w:tabs>
          <w:tab w:val="left" w:pos="720"/>
        </w:tabs>
        <w:ind w:left="540" w:hanging="540"/>
        <w:jc w:val="both"/>
        <w:rPr>
          <w:rFonts w:asciiTheme="minorHAnsi" w:hAnsiTheme="minorHAnsi" w:cstheme="minorHAnsi"/>
        </w:rPr>
      </w:pPr>
      <w:r w:rsidRPr="008B5CE8">
        <w:rPr>
          <w:rFonts w:asciiTheme="minorHAnsi" w:hAnsiTheme="minorHAnsi" w:cstheme="minorHAnsi"/>
          <w:b/>
        </w:rPr>
        <w:t xml:space="preserve">A: </w:t>
      </w:r>
      <w:r w:rsidR="005A4BF8" w:rsidRPr="008B5CE8">
        <w:rPr>
          <w:rFonts w:asciiTheme="minorHAnsi" w:hAnsiTheme="minorHAnsi" w:cstheme="minorHAnsi"/>
          <w:b/>
        </w:rPr>
        <w:tab/>
      </w:r>
      <w:r w:rsidR="00A3640D" w:rsidRPr="008B5CE8">
        <w:rPr>
          <w:rFonts w:asciiTheme="minorHAnsi" w:hAnsiTheme="minorHAnsi" w:cstheme="minorHAnsi"/>
        </w:rPr>
        <w:t xml:space="preserve">Coverage will go into effect the first day of the </w:t>
      </w:r>
      <w:r w:rsidR="00EB2524" w:rsidRPr="008B5CE8">
        <w:rPr>
          <w:rFonts w:asciiTheme="minorHAnsi" w:hAnsiTheme="minorHAnsi" w:cstheme="minorHAnsi"/>
        </w:rPr>
        <w:t xml:space="preserve">new </w:t>
      </w:r>
      <w:r w:rsidR="00A3640D" w:rsidRPr="008B5CE8">
        <w:rPr>
          <w:rFonts w:asciiTheme="minorHAnsi" w:hAnsiTheme="minorHAnsi" w:cstheme="minorHAnsi"/>
        </w:rPr>
        <w:t xml:space="preserve">pay period following day of enrollment. </w:t>
      </w:r>
    </w:p>
    <w:p w:rsidR="00806314" w:rsidRDefault="00806314" w:rsidP="00532F55">
      <w:pPr>
        <w:tabs>
          <w:tab w:val="left" w:pos="720"/>
        </w:tabs>
        <w:ind w:left="360" w:hanging="360"/>
        <w:jc w:val="both"/>
        <w:rPr>
          <w:rFonts w:asciiTheme="minorHAnsi" w:hAnsiTheme="minorHAnsi" w:cstheme="minorHAnsi"/>
        </w:rPr>
      </w:pPr>
    </w:p>
    <w:p w:rsidR="00806314" w:rsidRPr="000E56AA" w:rsidRDefault="00806314" w:rsidP="00532F55">
      <w:pPr>
        <w:ind w:left="547" w:hanging="547"/>
        <w:jc w:val="both"/>
        <w:rPr>
          <w:rFonts w:asciiTheme="minorHAnsi" w:hAnsiTheme="minorHAnsi" w:cstheme="minorHAnsi"/>
        </w:rPr>
      </w:pPr>
      <w:r w:rsidRPr="000E56AA">
        <w:rPr>
          <w:rFonts w:asciiTheme="minorHAnsi" w:hAnsiTheme="minorHAnsi" w:cstheme="minorHAnsi"/>
          <w:b/>
        </w:rPr>
        <w:t>Q:</w:t>
      </w:r>
      <w:r w:rsidRPr="000E56AA">
        <w:rPr>
          <w:rFonts w:asciiTheme="minorHAnsi" w:hAnsiTheme="minorHAnsi" w:cstheme="minorHAnsi"/>
        </w:rPr>
        <w:t xml:space="preserve">  </w:t>
      </w:r>
      <w:r w:rsidRPr="000E56AA">
        <w:rPr>
          <w:rFonts w:asciiTheme="minorHAnsi" w:hAnsiTheme="minorHAnsi" w:cstheme="minorHAnsi"/>
        </w:rPr>
        <w:tab/>
        <w:t xml:space="preserve">If an employee wishes to elect additional Life coverage </w:t>
      </w:r>
      <w:r w:rsidR="005332E2">
        <w:rPr>
          <w:rFonts w:asciiTheme="minorHAnsi" w:hAnsiTheme="minorHAnsi" w:cstheme="minorHAnsi"/>
        </w:rPr>
        <w:t>outside of</w:t>
      </w:r>
      <w:r w:rsidRPr="000E56AA">
        <w:rPr>
          <w:rFonts w:asciiTheme="minorHAnsi" w:hAnsiTheme="minorHAnsi" w:cstheme="minorHAnsi"/>
        </w:rPr>
        <w:t xml:space="preserve"> the Special Open Enrollment </w:t>
      </w:r>
      <w:r w:rsidR="005332E2">
        <w:rPr>
          <w:rFonts w:asciiTheme="minorHAnsi" w:hAnsiTheme="minorHAnsi" w:cstheme="minorHAnsi"/>
        </w:rPr>
        <w:t>event</w:t>
      </w:r>
      <w:r w:rsidR="007768F0">
        <w:rPr>
          <w:rFonts w:asciiTheme="minorHAnsi" w:hAnsiTheme="minorHAnsi" w:cstheme="minorHAnsi"/>
        </w:rPr>
        <w:t>, what do they need to do and w</w:t>
      </w:r>
      <w:r w:rsidRPr="000E56AA">
        <w:rPr>
          <w:rFonts w:asciiTheme="minorHAnsi" w:hAnsiTheme="minorHAnsi" w:cstheme="minorHAnsi"/>
        </w:rPr>
        <w:t xml:space="preserve">here </w:t>
      </w:r>
      <w:r w:rsidR="005E0C1B" w:rsidRPr="000E56AA">
        <w:rPr>
          <w:rFonts w:asciiTheme="minorHAnsi" w:hAnsiTheme="minorHAnsi" w:cstheme="minorHAnsi"/>
        </w:rPr>
        <w:t>can</w:t>
      </w:r>
      <w:r w:rsidRPr="000E56AA">
        <w:rPr>
          <w:rFonts w:asciiTheme="minorHAnsi" w:hAnsiTheme="minorHAnsi" w:cstheme="minorHAnsi"/>
        </w:rPr>
        <w:t xml:space="preserve"> the</w:t>
      </w:r>
      <w:r w:rsidR="007768F0">
        <w:rPr>
          <w:rFonts w:asciiTheme="minorHAnsi" w:hAnsiTheme="minorHAnsi" w:cstheme="minorHAnsi"/>
        </w:rPr>
        <w:t>y find the</w:t>
      </w:r>
      <w:r w:rsidR="005E0C1B" w:rsidRPr="000E56AA">
        <w:rPr>
          <w:rFonts w:asciiTheme="minorHAnsi" w:hAnsiTheme="minorHAnsi" w:cstheme="minorHAnsi"/>
        </w:rPr>
        <w:t xml:space="preserve"> necessary</w:t>
      </w:r>
      <w:r w:rsidRPr="000E56AA">
        <w:rPr>
          <w:rFonts w:asciiTheme="minorHAnsi" w:hAnsiTheme="minorHAnsi" w:cstheme="minorHAnsi"/>
        </w:rPr>
        <w:t xml:space="preserve"> forms?</w:t>
      </w:r>
    </w:p>
    <w:p w:rsidR="00420355" w:rsidRDefault="00806314" w:rsidP="00532F55">
      <w:pPr>
        <w:ind w:left="547" w:hanging="547"/>
        <w:jc w:val="both"/>
        <w:rPr>
          <w:rFonts w:asciiTheme="minorHAnsi" w:hAnsiTheme="minorHAnsi" w:cstheme="minorHAnsi"/>
        </w:rPr>
      </w:pPr>
      <w:r w:rsidRPr="000E56AA">
        <w:rPr>
          <w:rFonts w:asciiTheme="minorHAnsi" w:hAnsiTheme="minorHAnsi" w:cstheme="minorHAnsi"/>
          <w:b/>
        </w:rPr>
        <w:t>A:</w:t>
      </w:r>
      <w:r w:rsidRPr="000E56AA">
        <w:rPr>
          <w:rFonts w:asciiTheme="minorHAnsi" w:hAnsiTheme="minorHAnsi" w:cstheme="minorHAnsi"/>
        </w:rPr>
        <w:t xml:space="preserve">  </w:t>
      </w:r>
      <w:r w:rsidRPr="000E56AA">
        <w:rPr>
          <w:rFonts w:asciiTheme="minorHAnsi" w:hAnsiTheme="minorHAnsi" w:cstheme="minorHAnsi"/>
        </w:rPr>
        <w:tab/>
      </w:r>
      <w:r w:rsidR="00202BE7" w:rsidRPr="000E56AA">
        <w:rPr>
          <w:rFonts w:asciiTheme="minorHAnsi" w:hAnsiTheme="minorHAnsi" w:cstheme="minorHAnsi"/>
        </w:rPr>
        <w:t>Employees may elect additional Life coverage at any time</w:t>
      </w:r>
      <w:r w:rsidR="008F5448">
        <w:rPr>
          <w:rFonts w:asciiTheme="minorHAnsi" w:hAnsiTheme="minorHAnsi" w:cstheme="minorHAnsi"/>
        </w:rPr>
        <w:t xml:space="preserve">. </w:t>
      </w:r>
      <w:r w:rsidR="00BA2FDD" w:rsidRPr="000E56AA">
        <w:rPr>
          <w:rFonts w:asciiTheme="minorHAnsi" w:hAnsiTheme="minorHAnsi" w:cstheme="minorHAnsi"/>
          <w:u w:val="single"/>
        </w:rPr>
        <w:t xml:space="preserve">Outside of the Special Life coverage </w:t>
      </w:r>
      <w:r w:rsidR="007768F0">
        <w:rPr>
          <w:rFonts w:asciiTheme="minorHAnsi" w:hAnsiTheme="minorHAnsi" w:cstheme="minorHAnsi"/>
          <w:u w:val="single"/>
        </w:rPr>
        <w:t xml:space="preserve">Open Enrollment, the employee </w:t>
      </w:r>
      <w:r w:rsidR="00BA2FDD" w:rsidRPr="000E56AA">
        <w:rPr>
          <w:rFonts w:asciiTheme="minorHAnsi" w:hAnsiTheme="minorHAnsi" w:cstheme="minorHAnsi"/>
          <w:u w:val="single"/>
        </w:rPr>
        <w:t xml:space="preserve">will </w:t>
      </w:r>
      <w:r w:rsidR="007768F0">
        <w:rPr>
          <w:rFonts w:asciiTheme="minorHAnsi" w:hAnsiTheme="minorHAnsi" w:cstheme="minorHAnsi"/>
          <w:u w:val="single"/>
        </w:rPr>
        <w:t>go to</w:t>
      </w:r>
      <w:r w:rsidR="007768F0" w:rsidRPr="008F5448">
        <w:rPr>
          <w:rFonts w:asciiTheme="minorHAnsi" w:hAnsiTheme="minorHAnsi" w:cstheme="minorHAnsi"/>
        </w:rPr>
        <w:t xml:space="preserve">:  </w:t>
      </w:r>
      <w:hyperlink r:id="rId9" w:history="1">
        <w:r w:rsidR="008F5448" w:rsidRPr="00B628EF">
          <w:rPr>
            <w:rStyle w:val="Hyperlink"/>
          </w:rPr>
          <w:t>www.mybenefitsnm.com/Benefits.htm</w:t>
        </w:r>
      </w:hyperlink>
      <w:r w:rsidR="007768F0" w:rsidRPr="007768F0">
        <w:rPr>
          <w:rFonts w:asciiTheme="minorHAnsi" w:hAnsiTheme="minorHAnsi" w:cstheme="minorHAnsi"/>
        </w:rPr>
        <w:t xml:space="preserve"> </w:t>
      </w:r>
      <w:r w:rsidR="008F5448">
        <w:rPr>
          <w:rFonts w:asciiTheme="minorHAnsi" w:hAnsiTheme="minorHAnsi" w:cstheme="minorHAnsi"/>
        </w:rPr>
        <w:t>(</w:t>
      </w:r>
      <w:r w:rsidR="00315501">
        <w:rPr>
          <w:rFonts w:asciiTheme="minorHAnsi" w:hAnsiTheme="minorHAnsi" w:cstheme="minorHAnsi"/>
        </w:rPr>
        <w:t xml:space="preserve">under </w:t>
      </w:r>
      <w:r w:rsidR="008F5448">
        <w:rPr>
          <w:rFonts w:asciiTheme="minorHAnsi" w:hAnsiTheme="minorHAnsi" w:cstheme="minorHAnsi"/>
        </w:rPr>
        <w:t xml:space="preserve">The Hartford), </w:t>
      </w:r>
      <w:r w:rsidR="007768F0" w:rsidRPr="007768F0">
        <w:rPr>
          <w:rFonts w:asciiTheme="minorHAnsi" w:hAnsiTheme="minorHAnsi" w:cstheme="minorHAnsi"/>
        </w:rPr>
        <w:t>and</w:t>
      </w:r>
      <w:r w:rsidR="007768F0">
        <w:rPr>
          <w:rFonts w:asciiTheme="minorHAnsi" w:hAnsiTheme="minorHAnsi" w:cstheme="minorHAnsi"/>
        </w:rPr>
        <w:t xml:space="preserve"> follow the instructions. Employees WILL </w:t>
      </w:r>
      <w:r w:rsidR="00BA2FDD" w:rsidRPr="007768F0">
        <w:rPr>
          <w:rFonts w:asciiTheme="minorHAnsi" w:hAnsiTheme="minorHAnsi" w:cstheme="minorHAnsi"/>
        </w:rPr>
        <w:t xml:space="preserve">be required to submit an </w:t>
      </w:r>
      <w:r w:rsidR="00BA2FDD" w:rsidRPr="007768F0">
        <w:rPr>
          <w:rFonts w:asciiTheme="minorHAnsi" w:hAnsiTheme="minorHAnsi" w:cstheme="minorHAnsi"/>
          <w:color w:val="FF0000"/>
        </w:rPr>
        <w:t>*</w:t>
      </w:r>
      <w:r w:rsidR="00BA2FDD" w:rsidRPr="007768F0">
        <w:rPr>
          <w:rFonts w:asciiTheme="minorHAnsi" w:hAnsiTheme="minorHAnsi" w:cstheme="minorHAnsi"/>
        </w:rPr>
        <w:t xml:space="preserve">EOI, medical records, etc., in order to obtain </w:t>
      </w:r>
      <w:r w:rsidR="008A2A36">
        <w:rPr>
          <w:rFonts w:asciiTheme="minorHAnsi" w:hAnsiTheme="minorHAnsi" w:cstheme="minorHAnsi"/>
        </w:rPr>
        <w:t xml:space="preserve">any </w:t>
      </w:r>
      <w:r w:rsidR="00BA2FDD" w:rsidRPr="007768F0">
        <w:rPr>
          <w:rFonts w:asciiTheme="minorHAnsi" w:hAnsiTheme="minorHAnsi" w:cstheme="minorHAnsi"/>
        </w:rPr>
        <w:t>additional Life coverage</w:t>
      </w:r>
      <w:r w:rsidR="00BA2FDD" w:rsidRPr="000E56AA">
        <w:rPr>
          <w:rFonts w:asciiTheme="minorHAnsi" w:hAnsiTheme="minorHAnsi" w:cstheme="minorHAnsi"/>
        </w:rPr>
        <w:t xml:space="preserve">. More information regarding Life coverage options will be posted via upcoming </w:t>
      </w:r>
      <w:r w:rsidR="008A2A36">
        <w:rPr>
          <w:rFonts w:asciiTheme="minorHAnsi" w:hAnsiTheme="minorHAnsi" w:cstheme="minorHAnsi"/>
        </w:rPr>
        <w:t>communications from the E</w:t>
      </w:r>
      <w:r w:rsidR="008F5448">
        <w:rPr>
          <w:rFonts w:asciiTheme="minorHAnsi" w:hAnsiTheme="minorHAnsi" w:cstheme="minorHAnsi"/>
        </w:rPr>
        <w:t xml:space="preserve">mployee </w:t>
      </w:r>
      <w:r w:rsidR="008A2A36">
        <w:rPr>
          <w:rFonts w:asciiTheme="minorHAnsi" w:hAnsiTheme="minorHAnsi" w:cstheme="minorHAnsi"/>
        </w:rPr>
        <w:t>B</w:t>
      </w:r>
      <w:r w:rsidR="008F5448">
        <w:rPr>
          <w:rFonts w:asciiTheme="minorHAnsi" w:hAnsiTheme="minorHAnsi" w:cstheme="minorHAnsi"/>
        </w:rPr>
        <w:t xml:space="preserve">enefits </w:t>
      </w:r>
      <w:r w:rsidR="008A2A36">
        <w:rPr>
          <w:rFonts w:asciiTheme="minorHAnsi" w:hAnsiTheme="minorHAnsi" w:cstheme="minorHAnsi"/>
        </w:rPr>
        <w:t>B</w:t>
      </w:r>
      <w:r w:rsidR="008F5448">
        <w:rPr>
          <w:rFonts w:asciiTheme="minorHAnsi" w:hAnsiTheme="minorHAnsi" w:cstheme="minorHAnsi"/>
        </w:rPr>
        <w:t>ureau</w:t>
      </w:r>
      <w:r w:rsidR="00BA2FDD" w:rsidRPr="000E56AA">
        <w:rPr>
          <w:rFonts w:asciiTheme="minorHAnsi" w:hAnsiTheme="minorHAnsi" w:cstheme="minorHAnsi"/>
        </w:rPr>
        <w:t>.</w:t>
      </w:r>
    </w:p>
    <w:p w:rsidR="008F5448" w:rsidRPr="008F5448" w:rsidRDefault="008F5448" w:rsidP="00532F55">
      <w:pPr>
        <w:ind w:left="547" w:hanging="547"/>
        <w:jc w:val="both"/>
        <w:rPr>
          <w:rFonts w:asciiTheme="minorHAnsi" w:hAnsiTheme="minorHAnsi" w:cstheme="minorHAnsi"/>
          <w:sz w:val="8"/>
          <w:szCs w:val="8"/>
        </w:rPr>
      </w:pPr>
    </w:p>
    <w:p w:rsidR="00BA2FDD" w:rsidRPr="00BA2FDD" w:rsidRDefault="00BA2FDD" w:rsidP="00532F55">
      <w:pPr>
        <w:shd w:val="clear" w:color="auto" w:fill="FFFFFF"/>
        <w:ind w:left="90" w:hanging="90"/>
        <w:jc w:val="both"/>
        <w:rPr>
          <w:rFonts w:asciiTheme="minorHAnsi" w:eastAsia="Times New Roman" w:hAnsiTheme="minorHAnsi" w:cstheme="minorHAnsi"/>
          <w:color w:val="545454"/>
        </w:rPr>
      </w:pPr>
      <w:r w:rsidRPr="000E56AA">
        <w:rPr>
          <w:rFonts w:asciiTheme="minorHAnsi" w:hAnsiTheme="minorHAnsi" w:cstheme="minorHAnsi"/>
          <w:color w:val="FF0000"/>
          <w:sz w:val="24"/>
          <w:szCs w:val="24"/>
        </w:rPr>
        <w:t>*</w:t>
      </w:r>
      <w:r w:rsidRPr="00532F55">
        <w:rPr>
          <w:rFonts w:asciiTheme="minorHAnsi" w:hAnsiTheme="minorHAnsi" w:cstheme="minorHAnsi"/>
          <w:i/>
          <w:sz w:val="20"/>
          <w:szCs w:val="20"/>
        </w:rPr>
        <w:t>Evidence of Insurability</w:t>
      </w:r>
      <w:r w:rsidR="000E56AA" w:rsidRPr="00532F55">
        <w:rPr>
          <w:rFonts w:asciiTheme="minorHAnsi" w:hAnsiTheme="minorHAnsi" w:cstheme="minorHAnsi"/>
          <w:b/>
          <w:i/>
          <w:sz w:val="20"/>
          <w:szCs w:val="20"/>
        </w:rPr>
        <w:t xml:space="preserve"> (EOI) </w:t>
      </w:r>
      <w:r w:rsidR="000E56AA" w:rsidRPr="00532F55">
        <w:rPr>
          <w:rFonts w:asciiTheme="minorHAnsi" w:hAnsiTheme="minorHAnsi" w:cstheme="minorHAnsi"/>
          <w:i/>
          <w:sz w:val="20"/>
          <w:szCs w:val="20"/>
        </w:rPr>
        <w:t xml:space="preserve">– </w:t>
      </w:r>
      <w:r w:rsidRPr="00532F55">
        <w:rPr>
          <w:rFonts w:asciiTheme="minorHAnsi" w:eastAsia="Times New Roman" w:hAnsiTheme="minorHAnsi" w:cstheme="minorHAnsi"/>
          <w:i/>
          <w:color w:val="222222"/>
          <w:sz w:val="20"/>
          <w:szCs w:val="20"/>
        </w:rPr>
        <w:t xml:space="preserve">an application process in which </w:t>
      </w:r>
      <w:r w:rsidR="000E56AA" w:rsidRPr="00532F55">
        <w:rPr>
          <w:rFonts w:asciiTheme="minorHAnsi" w:eastAsia="Times New Roman" w:hAnsiTheme="minorHAnsi" w:cstheme="minorHAnsi"/>
          <w:i/>
          <w:color w:val="222222"/>
          <w:sz w:val="20"/>
          <w:szCs w:val="20"/>
        </w:rPr>
        <w:t>applicant</w:t>
      </w:r>
      <w:r w:rsidRPr="00532F55">
        <w:rPr>
          <w:rFonts w:asciiTheme="minorHAnsi" w:eastAsia="Times New Roman" w:hAnsiTheme="minorHAnsi" w:cstheme="minorHAnsi"/>
          <w:i/>
          <w:color w:val="222222"/>
          <w:sz w:val="20"/>
          <w:szCs w:val="20"/>
        </w:rPr>
        <w:t xml:space="preserve"> provide</w:t>
      </w:r>
      <w:r w:rsidR="000E56AA" w:rsidRPr="00532F55">
        <w:rPr>
          <w:rFonts w:asciiTheme="minorHAnsi" w:eastAsia="Times New Roman" w:hAnsiTheme="minorHAnsi" w:cstheme="minorHAnsi"/>
          <w:i/>
          <w:color w:val="222222"/>
          <w:sz w:val="20"/>
          <w:szCs w:val="20"/>
        </w:rPr>
        <w:t>s</w:t>
      </w:r>
      <w:r w:rsidRPr="00532F55">
        <w:rPr>
          <w:rFonts w:asciiTheme="minorHAnsi" w:eastAsia="Times New Roman" w:hAnsiTheme="minorHAnsi" w:cstheme="minorHAnsi"/>
          <w:i/>
          <w:color w:val="222222"/>
          <w:sz w:val="20"/>
          <w:szCs w:val="20"/>
        </w:rPr>
        <w:t xml:space="preserve"> information on </w:t>
      </w:r>
      <w:r w:rsidR="000E56AA" w:rsidRPr="00532F55">
        <w:rPr>
          <w:rFonts w:asciiTheme="minorHAnsi" w:eastAsia="Times New Roman" w:hAnsiTheme="minorHAnsi" w:cstheme="minorHAnsi"/>
          <w:i/>
          <w:color w:val="222222"/>
          <w:sz w:val="20"/>
          <w:szCs w:val="20"/>
        </w:rPr>
        <w:t xml:space="preserve">health </w:t>
      </w:r>
      <w:r w:rsidRPr="00532F55">
        <w:rPr>
          <w:rFonts w:asciiTheme="minorHAnsi" w:eastAsia="Times New Roman" w:hAnsiTheme="minorHAnsi" w:cstheme="minorHAnsi"/>
          <w:i/>
          <w:color w:val="222222"/>
          <w:sz w:val="20"/>
          <w:szCs w:val="20"/>
        </w:rPr>
        <w:t xml:space="preserve">condition of </w:t>
      </w:r>
      <w:r w:rsidR="00532F55" w:rsidRPr="00532F55">
        <w:rPr>
          <w:rFonts w:asciiTheme="minorHAnsi" w:eastAsia="Times New Roman" w:hAnsiTheme="minorHAnsi" w:cstheme="minorHAnsi"/>
          <w:i/>
          <w:color w:val="222222"/>
          <w:sz w:val="20"/>
          <w:szCs w:val="20"/>
        </w:rPr>
        <w:t>insured</w:t>
      </w:r>
      <w:r w:rsidR="000E56AA" w:rsidRPr="00532F55">
        <w:rPr>
          <w:rFonts w:asciiTheme="minorHAnsi" w:eastAsia="Times New Roman" w:hAnsiTheme="minorHAnsi" w:cstheme="minorHAnsi"/>
          <w:i/>
          <w:color w:val="222222"/>
          <w:sz w:val="20"/>
          <w:szCs w:val="20"/>
        </w:rPr>
        <w:t xml:space="preserve"> or </w:t>
      </w:r>
      <w:r w:rsidR="00532F55" w:rsidRPr="00532F55">
        <w:rPr>
          <w:rFonts w:asciiTheme="minorHAnsi" w:eastAsia="Times New Roman" w:hAnsiTheme="minorHAnsi" w:cstheme="minorHAnsi"/>
          <w:i/>
          <w:color w:val="222222"/>
          <w:sz w:val="20"/>
          <w:szCs w:val="20"/>
        </w:rPr>
        <w:t xml:space="preserve">their </w:t>
      </w:r>
      <w:r w:rsidRPr="00532F55">
        <w:rPr>
          <w:rFonts w:asciiTheme="minorHAnsi" w:eastAsia="Times New Roman" w:hAnsiTheme="minorHAnsi" w:cstheme="minorHAnsi"/>
          <w:i/>
          <w:color w:val="222222"/>
          <w:sz w:val="20"/>
          <w:szCs w:val="20"/>
        </w:rPr>
        <w:t>dependent</w:t>
      </w:r>
      <w:r w:rsidR="00532F55" w:rsidRPr="00532F55">
        <w:rPr>
          <w:rFonts w:asciiTheme="minorHAnsi" w:eastAsia="Times New Roman" w:hAnsiTheme="minorHAnsi" w:cstheme="minorHAnsi"/>
          <w:i/>
          <w:color w:val="222222"/>
          <w:sz w:val="20"/>
          <w:szCs w:val="20"/>
        </w:rPr>
        <w:t xml:space="preserve"> </w:t>
      </w:r>
      <w:r w:rsidRPr="00532F55">
        <w:rPr>
          <w:rFonts w:asciiTheme="minorHAnsi" w:eastAsia="Times New Roman" w:hAnsiTheme="minorHAnsi" w:cstheme="minorHAnsi"/>
          <w:i/>
          <w:color w:val="222222"/>
          <w:sz w:val="20"/>
          <w:szCs w:val="20"/>
        </w:rPr>
        <w:t>in order to be considered for certain types of insurance coverage.</w:t>
      </w:r>
      <w:r w:rsidR="000E56AA" w:rsidRPr="00532F55">
        <w:rPr>
          <w:rFonts w:asciiTheme="minorHAnsi" w:eastAsia="Times New Roman" w:hAnsiTheme="minorHAnsi" w:cstheme="minorHAnsi"/>
          <w:i/>
          <w:color w:val="222222"/>
          <w:sz w:val="20"/>
          <w:szCs w:val="20"/>
        </w:rPr>
        <w:t xml:space="preserve"> This proves insured is in good health.</w:t>
      </w:r>
    </w:p>
    <w:p w:rsidR="00806314" w:rsidRPr="00BA2FDD" w:rsidRDefault="00806314" w:rsidP="00606980">
      <w:pPr>
        <w:tabs>
          <w:tab w:val="left" w:pos="720"/>
        </w:tabs>
        <w:ind w:left="360" w:hanging="36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sectPr w:rsidR="00806314" w:rsidRPr="00BA2FDD" w:rsidSect="001266DE">
      <w:pgSz w:w="12240" w:h="15840"/>
      <w:pgMar w:top="1440" w:right="144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37FEB"/>
    <w:multiLevelType w:val="multilevel"/>
    <w:tmpl w:val="5C189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52E4B"/>
    <w:multiLevelType w:val="hybridMultilevel"/>
    <w:tmpl w:val="152472F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39"/>
    <w:rsid w:val="0001089F"/>
    <w:rsid w:val="000C426C"/>
    <w:rsid w:val="000E56AA"/>
    <w:rsid w:val="001266DE"/>
    <w:rsid w:val="00132D92"/>
    <w:rsid w:val="001611B6"/>
    <w:rsid w:val="001B0506"/>
    <w:rsid w:val="001D040A"/>
    <w:rsid w:val="001E3939"/>
    <w:rsid w:val="00202BE7"/>
    <w:rsid w:val="0021143F"/>
    <w:rsid w:val="00315501"/>
    <w:rsid w:val="003532B3"/>
    <w:rsid w:val="003F263C"/>
    <w:rsid w:val="00420355"/>
    <w:rsid w:val="00457846"/>
    <w:rsid w:val="00467E72"/>
    <w:rsid w:val="00497210"/>
    <w:rsid w:val="004B68E1"/>
    <w:rsid w:val="004D126A"/>
    <w:rsid w:val="004F1656"/>
    <w:rsid w:val="00503F5B"/>
    <w:rsid w:val="00532F55"/>
    <w:rsid w:val="005332E2"/>
    <w:rsid w:val="005A4BF8"/>
    <w:rsid w:val="005E0C1B"/>
    <w:rsid w:val="005F2844"/>
    <w:rsid w:val="00606980"/>
    <w:rsid w:val="006123E7"/>
    <w:rsid w:val="00617394"/>
    <w:rsid w:val="006211B7"/>
    <w:rsid w:val="006276F9"/>
    <w:rsid w:val="00627E4F"/>
    <w:rsid w:val="007768F0"/>
    <w:rsid w:val="007A2A6B"/>
    <w:rsid w:val="007A4C7C"/>
    <w:rsid w:val="007B4737"/>
    <w:rsid w:val="007B7A27"/>
    <w:rsid w:val="00806314"/>
    <w:rsid w:val="00843310"/>
    <w:rsid w:val="008A2A36"/>
    <w:rsid w:val="008B4BC4"/>
    <w:rsid w:val="008B5CE8"/>
    <w:rsid w:val="008D3153"/>
    <w:rsid w:val="008F5448"/>
    <w:rsid w:val="00942194"/>
    <w:rsid w:val="009810D0"/>
    <w:rsid w:val="009B3A34"/>
    <w:rsid w:val="009E3BB7"/>
    <w:rsid w:val="00A254AE"/>
    <w:rsid w:val="00A3640D"/>
    <w:rsid w:val="00AB0AB0"/>
    <w:rsid w:val="00AC78EA"/>
    <w:rsid w:val="00B1650C"/>
    <w:rsid w:val="00B32AE7"/>
    <w:rsid w:val="00B3589C"/>
    <w:rsid w:val="00B513FC"/>
    <w:rsid w:val="00B53D8F"/>
    <w:rsid w:val="00B6386A"/>
    <w:rsid w:val="00B73BF6"/>
    <w:rsid w:val="00BA2FDD"/>
    <w:rsid w:val="00BD0E32"/>
    <w:rsid w:val="00C96E3F"/>
    <w:rsid w:val="00CC1F5B"/>
    <w:rsid w:val="00D94A3A"/>
    <w:rsid w:val="00DA456E"/>
    <w:rsid w:val="00DA7936"/>
    <w:rsid w:val="00DC01FC"/>
    <w:rsid w:val="00E47024"/>
    <w:rsid w:val="00E771BD"/>
    <w:rsid w:val="00EB2524"/>
    <w:rsid w:val="00F04673"/>
    <w:rsid w:val="00F4049F"/>
    <w:rsid w:val="00F4429B"/>
    <w:rsid w:val="00F45675"/>
    <w:rsid w:val="00F775EB"/>
    <w:rsid w:val="00FB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4FFC4"/>
  <w15:chartTrackingRefBased/>
  <w15:docId w15:val="{EBB78408-855C-48AB-8DA9-D2D56B78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93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1F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F5B"/>
    <w:rPr>
      <w:color w:val="954F72" w:themeColor="followedHyperlink"/>
      <w:u w:val="single"/>
    </w:rPr>
  </w:style>
  <w:style w:type="paragraph" w:customStyle="1" w:styleId="Default">
    <w:name w:val="Default"/>
    <w:rsid w:val="00CC1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32B3"/>
    <w:pPr>
      <w:ind w:left="720"/>
      <w:contextualSpacing/>
    </w:pPr>
  </w:style>
  <w:style w:type="table" w:styleId="TableGrid">
    <w:name w:val="Table Grid"/>
    <w:basedOn w:val="TableNormal"/>
    <w:uiPriority w:val="39"/>
    <w:rsid w:val="008B5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4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514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7622">
                  <w:marLeft w:val="-300"/>
                  <w:marRight w:val="-300"/>
                  <w:marTop w:val="0"/>
                  <w:marBottom w:val="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6656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8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82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96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837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84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1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54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144476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594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87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2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2115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2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36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260006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1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380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8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benefitsnm.com/documents/Benefits_Eligibility_Acknowledgement_July2019-FINA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hartford.com/cost/SONM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ybenefitsnm.com/Benefit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5524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Archuleta, Cynthia</dc:creator>
  <cp:keywords/>
  <dc:description/>
  <cp:lastModifiedBy>Archuleta, Cynthia</cp:lastModifiedBy>
  <cp:revision>2</cp:revision>
  <dcterms:created xsi:type="dcterms:W3CDTF">2019-07-12T17:05:00Z</dcterms:created>
  <dcterms:modified xsi:type="dcterms:W3CDTF">2019-07-12T17:05:00Z</dcterms:modified>
</cp:coreProperties>
</file>